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berschrift1"/>
        <w:numPr>
          <w:ilvl w:val="0"/>
          <w:numId w:val="0"/>
        </w:numPr>
        <w:spacing w:before="240" w:after="120"/>
        <w:rPr>
          <w:rFonts w:cs="Arial"/>
          <w:bCs/>
          <w:sz w:val="28"/>
        </w:rPr>
      </w:pPr>
      <w:r>
        <w:rPr>
          <w:rFonts w:cs="Arial"/>
          <w:sz w:val="28"/>
        </w:rPr>
        <w:t>Erläuterungen zur Vorkalkulation als Anlage zum AZK</w:t>
      </w:r>
    </w:p>
    <w:p>
      <w:pPr>
        <w:pStyle w:val="Titel"/>
        <w:rPr>
          <w:rFonts w:cs="Arial"/>
        </w:rPr>
      </w:pPr>
    </w:p>
    <w:p>
      <w:pPr>
        <w:pStyle w:val="berschrift3"/>
        <w:numPr>
          <w:ilvl w:val="0"/>
          <w:numId w:val="0"/>
        </w:numPr>
        <w:rPr>
          <w:rFonts w:cs="Arial"/>
          <w:color w:val="00CCFF"/>
        </w:rPr>
      </w:pPr>
      <w:r>
        <w:rPr>
          <w:rFonts w:cs="Arial"/>
          <w:color w:val="00CCFF"/>
        </w:rPr>
        <w:t>Vorbemerkungen:</w:t>
      </w:r>
    </w:p>
    <w:p>
      <w:pPr>
        <w:rPr>
          <w:rFonts w:ascii="Arial" w:hAnsi="Arial" w:cs="Arial"/>
          <w:color w:val="00CCFF"/>
        </w:rPr>
      </w:pPr>
    </w:p>
    <w:p>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Vor dem Einreichen dieser Erläuterungen bitte alle blau gesetzten Textteile entfernen.</w:t>
      </w:r>
    </w:p>
    <w:p>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In diesem Dokument sollen Erläuterungen zu den einzelnen Positionen der Vorkalkulation (AZK 4) zusammengefasst werden. In den mit easy-AZK erstellten Erläuterungsblättern werden nur die entsprechenden Zahlen eingetragen. Für weitere Erläuterungen bitte auf dieses Dokument verweisen.</w:t>
      </w:r>
    </w:p>
    <w:p>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Für alle beigefügten Angebote ist die Zuordnung zu den Positionen der Vorkalkulation mittels der am Ende dieses Musters stehenden Tabelle vorzunehmen.</w:t>
      </w:r>
    </w:p>
    <w:p>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Beachten Sie auch das „Merkblatt Vorkalkulation für Zuwendungen - Kostenbasis (AZK 4)“</w:t>
      </w:r>
      <w:r>
        <w:rPr>
          <w:rStyle w:val="Funotenzeichen"/>
          <w:rFonts w:ascii="Arial" w:hAnsi="Arial" w:cs="Arial"/>
          <w:color w:val="00CCFF"/>
          <w:sz w:val="24"/>
          <w:szCs w:val="24"/>
        </w:rPr>
        <w:footnoteReference w:id="1"/>
      </w:r>
    </w:p>
    <w:p>
      <w:pPr>
        <w:rPr>
          <w:rFonts w:ascii="Arial" w:hAnsi="Arial" w:cs="Arial"/>
          <w:sz w:val="24"/>
        </w:rPr>
      </w:pPr>
    </w:p>
    <w:p>
      <w:pPr>
        <w:pStyle w:val="berschrift1"/>
        <w:numPr>
          <w:ilvl w:val="0"/>
          <w:numId w:val="0"/>
        </w:numPr>
        <w:spacing w:before="240" w:after="120"/>
        <w:rPr>
          <w:rFonts w:cs="Arial"/>
          <w:bCs/>
          <w:sz w:val="28"/>
          <w:szCs w:val="28"/>
        </w:rPr>
      </w:pPr>
      <w:r>
        <w:rPr>
          <w:rFonts w:cs="Arial"/>
          <w:bCs/>
          <w:sz w:val="28"/>
          <w:szCs w:val="28"/>
        </w:rPr>
        <w:t>Pos. 0813 (Materialkosten)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Hierzu gehören alle Einsatzstoffe, die branchenüblich als Material verrechnet werden. Sollen Gegenstände als Material angerechnet werden, die üblicherweise nicht zum Material gezählt werden, so ist dies zu begründen.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Das Mengengerüst ist auf Basis der geplanten Arbeiten zu erläutern.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Einzelposten &gt; 1.000€ sind soweit möglich durch Angebote, eine Katalogseiten/ Preislisten o.ä. zu belegen.</w:t>
      </w:r>
    </w:p>
    <w:p>
      <w:pPr>
        <w:pStyle w:val="berschrift1"/>
        <w:numPr>
          <w:ilvl w:val="0"/>
          <w:numId w:val="0"/>
        </w:numPr>
        <w:spacing w:before="240" w:after="120"/>
        <w:rPr>
          <w:rFonts w:cs="Arial"/>
          <w:bCs/>
          <w:sz w:val="28"/>
          <w:szCs w:val="28"/>
        </w:rPr>
      </w:pPr>
      <w:r>
        <w:rPr>
          <w:rFonts w:cs="Arial"/>
          <w:bCs/>
          <w:sz w:val="28"/>
          <w:szCs w:val="28"/>
        </w:rPr>
        <w:t>Pos. 0823 (</w:t>
      </w:r>
      <w:proofErr w:type="spellStart"/>
      <w:r>
        <w:rPr>
          <w:rFonts w:cs="Arial"/>
          <w:bCs/>
          <w:sz w:val="28"/>
          <w:szCs w:val="28"/>
        </w:rPr>
        <w:t>FuE</w:t>
      </w:r>
      <w:proofErr w:type="spellEnd"/>
      <w:r>
        <w:rPr>
          <w:rFonts w:cs="Arial"/>
          <w:bCs/>
          <w:sz w:val="28"/>
          <w:szCs w:val="28"/>
        </w:rPr>
        <w:t>-Fremdleistungen)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FE-Fremdleistungen sind Teile des Vorhabens, die aus technischen oder wirtschaftlichen Gründen von Dritten erbracht werden sollen.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Für welche Arbeiten werden die jeweiligen </w:t>
      </w:r>
      <w:proofErr w:type="spellStart"/>
      <w:r>
        <w:rPr>
          <w:rFonts w:ascii="Arial" w:hAnsi="Arial" w:cs="Arial"/>
          <w:i/>
          <w:color w:val="00CCFF"/>
          <w:sz w:val="24"/>
          <w:szCs w:val="24"/>
        </w:rPr>
        <w:t>FuE</w:t>
      </w:r>
      <w:proofErr w:type="spellEnd"/>
      <w:r>
        <w:rPr>
          <w:rFonts w:ascii="Arial" w:hAnsi="Arial" w:cs="Arial"/>
          <w:i/>
          <w:color w:val="00CCFF"/>
          <w:sz w:val="24"/>
          <w:szCs w:val="24"/>
        </w:rPr>
        <w:t>-Fremdleistungen benötigt?</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Warum ist die externe Vergabe notwendig?</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Ist der Übertrag der alleinigen Rechte an dem Ergebnis der </w:t>
      </w:r>
      <w:proofErr w:type="spellStart"/>
      <w:r>
        <w:rPr>
          <w:rFonts w:ascii="Arial" w:hAnsi="Arial" w:cs="Arial"/>
          <w:i/>
          <w:color w:val="00CCFF"/>
          <w:sz w:val="24"/>
          <w:szCs w:val="24"/>
        </w:rPr>
        <w:t>FuE</w:t>
      </w:r>
      <w:proofErr w:type="spellEnd"/>
      <w:r>
        <w:rPr>
          <w:rFonts w:ascii="Arial" w:hAnsi="Arial" w:cs="Arial"/>
          <w:i/>
          <w:color w:val="00CCFF"/>
          <w:sz w:val="24"/>
          <w:szCs w:val="24"/>
        </w:rPr>
        <w:t xml:space="preserve">-Fremdleistung auf den Auftraggeber sichergestellt? </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In der Regel sind drei Vergleichsangebote vorzulegen. Falls jedoch nur ein bestimmter Anbieter in Frage kommt, muss das Alleinstellungsmerkmal erläutert werden. Für die Zuordnung der Vergleichsangebote bzw. die Erläuterung des Alleinstellungsmerkmals ist die am Ende des Musters stehende Tabelle zu verwenden.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In den folgenden Fällen muss zusätzlich eine Vorkalkulation (AAK-Formular</w:t>
      </w:r>
      <w:r>
        <w:rPr>
          <w:rStyle w:val="Funotenzeichen"/>
          <w:rFonts w:ascii="Arial" w:hAnsi="Arial" w:cs="Arial"/>
          <w:i/>
          <w:color w:val="00CCFF"/>
          <w:sz w:val="24"/>
          <w:szCs w:val="24"/>
        </w:rPr>
        <w:footnoteReference w:id="2"/>
      </w:r>
      <w:r>
        <w:rPr>
          <w:rFonts w:ascii="Arial" w:hAnsi="Arial" w:cs="Arial"/>
          <w:i/>
          <w:color w:val="00CCFF"/>
          <w:sz w:val="24"/>
          <w:szCs w:val="24"/>
        </w:rPr>
        <w:t xml:space="preserve"> bei Abrechnung auf Kostenbasis) bzw. ein Finanzierungsplan (AAA-Formular</w:t>
      </w:r>
      <w:r>
        <w:rPr>
          <w:rStyle w:val="Funotenzeichen"/>
          <w:rFonts w:ascii="Arial" w:hAnsi="Arial" w:cs="Arial"/>
          <w:i/>
          <w:color w:val="00CCFF"/>
          <w:sz w:val="24"/>
          <w:szCs w:val="24"/>
        </w:rPr>
        <w:footnoteReference w:id="3"/>
      </w:r>
      <w:r>
        <w:rPr>
          <w:rFonts w:ascii="Arial" w:hAnsi="Arial" w:cs="Arial"/>
          <w:i/>
          <w:color w:val="00CCFF"/>
          <w:sz w:val="24"/>
          <w:szCs w:val="24"/>
        </w:rPr>
        <w:t xml:space="preserve"> bei Abrechnung auf Ausgabenbasis) vorgelegt werden:</w:t>
      </w:r>
      <w:r>
        <w:rPr>
          <w:rFonts w:ascii="Arial" w:hAnsi="Arial" w:cs="Arial"/>
          <w:i/>
          <w:color w:val="00CCFF"/>
          <w:sz w:val="24"/>
          <w:szCs w:val="24"/>
        </w:rPr>
        <w:br/>
        <w:t>a) Förderquote &gt; 50% und Zuwendung &gt; 100 T€</w:t>
      </w:r>
      <w:r>
        <w:rPr>
          <w:rFonts w:ascii="Arial" w:hAnsi="Arial" w:cs="Arial"/>
          <w:i/>
          <w:color w:val="00CCFF"/>
          <w:sz w:val="24"/>
          <w:szCs w:val="24"/>
        </w:rPr>
        <w:br/>
        <w:t xml:space="preserve">b) Förderquote </w:t>
      </w:r>
      <w:r>
        <w:rPr>
          <w:i/>
          <w:color w:val="00CCFF"/>
          <w:sz w:val="24"/>
          <w:szCs w:val="24"/>
        </w:rPr>
        <w:t>≤</w:t>
      </w:r>
      <w:r>
        <w:rPr>
          <w:rFonts w:ascii="Arial" w:hAnsi="Arial" w:cs="Arial"/>
          <w:i/>
          <w:color w:val="00CCFF"/>
          <w:sz w:val="24"/>
          <w:szCs w:val="24"/>
        </w:rPr>
        <w:t xml:space="preserve"> 50% und Zuwendung &gt; 500 T€</w:t>
      </w:r>
    </w:p>
    <w:p>
      <w:pPr>
        <w:pStyle w:val="berschrift1"/>
        <w:numPr>
          <w:ilvl w:val="0"/>
          <w:numId w:val="0"/>
        </w:numPr>
        <w:spacing w:before="240" w:after="120"/>
        <w:rPr>
          <w:rFonts w:cs="Arial"/>
          <w:bCs/>
          <w:sz w:val="28"/>
          <w:szCs w:val="28"/>
        </w:rPr>
      </w:pPr>
      <w:r>
        <w:rPr>
          <w:rFonts w:cs="Arial"/>
          <w:bCs/>
          <w:sz w:val="28"/>
          <w:szCs w:val="28"/>
        </w:rPr>
        <w:lastRenderedPageBreak/>
        <w:t>Pos. 0837 (Personalkosten)</w:t>
      </w:r>
    </w:p>
    <w:p>
      <w:pPr>
        <w:numPr>
          <w:ilvl w:val="0"/>
          <w:numId w:val="5"/>
        </w:numPr>
        <w:tabs>
          <w:tab w:val="clear" w:pos="1080"/>
          <w:tab w:val="num" w:pos="426"/>
        </w:tabs>
        <w:autoSpaceDE w:val="0"/>
        <w:autoSpaceDN w:val="0"/>
        <w:adjustRightInd w:val="0"/>
        <w:ind w:left="426" w:hanging="426"/>
        <w:rPr>
          <w:rFonts w:ascii="Arial" w:hAnsi="Arial" w:cs="Arial"/>
          <w:b/>
          <w:i/>
          <w:color w:val="00CCFF"/>
          <w:sz w:val="24"/>
          <w:szCs w:val="24"/>
        </w:rPr>
      </w:pPr>
      <w:bookmarkStart w:id="0" w:name="OLE_LINK1"/>
      <w:r>
        <w:rPr>
          <w:rFonts w:ascii="Arial" w:hAnsi="Arial" w:cs="Arial"/>
          <w:b/>
          <w:i/>
          <w:color w:val="00CCFF"/>
          <w:sz w:val="24"/>
          <w:szCs w:val="24"/>
        </w:rPr>
        <w:t>Um Inkonsistenz zu vermeiden, raten wir, den geplanten Personalbedarf durchgängig in Arbeitsplan und Vorkalkulation in Stunden anzugeben!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Ansätze identisch mit dem Arbeitsplan der </w:t>
      </w:r>
      <w:proofErr w:type="spellStart"/>
      <w:r>
        <w:rPr>
          <w:rFonts w:ascii="Arial" w:hAnsi="Arial" w:cs="Arial"/>
          <w:i/>
          <w:color w:val="00CCFF"/>
          <w:sz w:val="24"/>
          <w:szCs w:val="24"/>
        </w:rPr>
        <w:t>Teilvorhabensbeschreibung</w:t>
      </w:r>
      <w:proofErr w:type="spellEnd"/>
      <w:r>
        <w:rPr>
          <w:rFonts w:ascii="Arial" w:hAnsi="Arial" w:cs="Arial"/>
          <w:i/>
          <w:color w:val="00CCFF"/>
          <w:sz w:val="24"/>
          <w:szCs w:val="24"/>
        </w:rPr>
        <w:t>?</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Neben der Durchführung der wissenschaftlich/ technischen Arbeiten ist die Mitarbeit in Standardisierungsgremien ebenso zuwendungsfähig. Zweckmäßig verteilen sich entsprechende Personalstunden dabei auf die einzelnen Arbeitspakete. </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Warum werden welche Mitarbeiter bzw. Qualifikationen für die Durchführung des Vorhabens benötigt?</w:t>
      </w:r>
    </w:p>
    <w:p>
      <w:pPr>
        <w:rPr>
          <w:rFonts w:ascii="Arial" w:hAnsi="Arial" w:cs="Arial"/>
          <w:i/>
          <w:color w:val="00CCFF"/>
          <w:sz w:val="24"/>
          <w:szCs w:val="24"/>
        </w:rPr>
      </w:pPr>
      <w:r>
        <w:rPr>
          <w:rFonts w:ascii="Arial" w:hAnsi="Arial" w:cs="Arial"/>
          <w:i/>
          <w:color w:val="00CCFF"/>
          <w:sz w:val="24"/>
          <w:szCs w:val="24"/>
        </w:rPr>
        <w:t>Bei pauschalierter Abrechnung</w:t>
      </w:r>
      <w:r>
        <w:rPr>
          <w:rStyle w:val="Funotenzeichen"/>
          <w:rFonts w:ascii="Arial" w:hAnsi="Arial" w:cs="Arial"/>
          <w:i/>
          <w:color w:val="00CCFF"/>
          <w:sz w:val="24"/>
          <w:szCs w:val="24"/>
        </w:rPr>
        <w:footnoteReference w:id="4"/>
      </w:r>
      <w:r>
        <w:rPr>
          <w:rFonts w:ascii="Arial" w:hAnsi="Arial" w:cs="Arial"/>
          <w:i/>
          <w:color w:val="00CCFF"/>
          <w:sz w:val="24"/>
          <w:szCs w:val="24"/>
        </w:rPr>
        <w:t xml:space="preserve"> sind die Personaleinzelkosten für die Vorkalkulation wie folgt zu berechnen:</w:t>
      </w:r>
      <w:r>
        <w:rPr>
          <w:rFonts w:ascii="Arial" w:hAnsi="Arial" w:cs="Arial"/>
          <w:i/>
          <w:color w:val="00CCFF"/>
          <w:sz w:val="24"/>
          <w:szCs w:val="24"/>
        </w:rPr>
        <w:br/>
        <w:t xml:space="preserve"> </w:t>
      </w:r>
      <w:r>
        <w:rPr>
          <w:rFonts w:ascii="Arial" w:hAnsi="Arial" w:cs="Arial"/>
          <w:i/>
          <w:color w:val="00CCFF"/>
          <w:sz w:val="24"/>
          <w:szCs w:val="24"/>
        </w:rPr>
        <w:tab/>
      </w:r>
      <w:r>
        <w:rPr>
          <w:rFonts w:ascii="Arial" w:hAnsi="Arial" w:cs="Arial"/>
          <w:i/>
          <w:color w:val="00CCFF"/>
          <w:sz w:val="24"/>
          <w:szCs w:val="24"/>
        </w:rPr>
        <w:tab/>
      </w:r>
      <w:r>
        <w:rPr>
          <w:rFonts w:ascii="Arial" w:hAnsi="Arial" w:cs="Arial"/>
          <w:i/>
          <w:color w:val="00CCFF"/>
          <w:sz w:val="24"/>
          <w:szCs w:val="24"/>
        </w:rPr>
        <w:tab/>
      </w:r>
      <w:r>
        <w:rPr>
          <w:rFonts w:ascii="Arial" w:hAnsi="Arial" w:cs="Arial"/>
          <w:i/>
          <w:color w:val="00CCFF"/>
          <w:sz w:val="24"/>
          <w:szCs w:val="24"/>
        </w:rPr>
        <w:tab/>
        <w:t>steuerpflichtiges Jahresbruttogehalt</w:t>
      </w:r>
      <w:r>
        <w:rPr>
          <w:rStyle w:val="Funotenzeichen"/>
          <w:rFonts w:ascii="Arial" w:hAnsi="Arial" w:cs="Arial"/>
          <w:i/>
          <w:color w:val="00CCFF"/>
          <w:sz w:val="24"/>
          <w:szCs w:val="24"/>
        </w:rPr>
        <w:footnoteReference w:id="5"/>
      </w:r>
      <w:r>
        <w:rPr>
          <w:rFonts w:ascii="Arial" w:hAnsi="Arial" w:cs="Arial"/>
          <w:i/>
          <w:color w:val="00CCFF"/>
          <w:sz w:val="24"/>
          <w:szCs w:val="24"/>
        </w:rPr>
        <w:br/>
        <w:t>1) Stundensatz = ────────────────────────────</w:t>
      </w:r>
      <w:r>
        <w:rPr>
          <w:rFonts w:ascii="Arial" w:hAnsi="Arial" w:cs="Arial"/>
          <w:i/>
          <w:color w:val="00CCFF"/>
          <w:sz w:val="24"/>
          <w:szCs w:val="24"/>
        </w:rPr>
        <w:br/>
        <w:t xml:space="preserve"> </w:t>
      </w:r>
      <w:r>
        <w:rPr>
          <w:rFonts w:ascii="Arial" w:hAnsi="Arial" w:cs="Arial"/>
          <w:i/>
          <w:color w:val="00CCFF"/>
          <w:sz w:val="24"/>
          <w:szCs w:val="24"/>
        </w:rPr>
        <w:tab/>
      </w:r>
      <w:r>
        <w:rPr>
          <w:rFonts w:ascii="Arial" w:hAnsi="Arial" w:cs="Arial"/>
          <w:i/>
          <w:color w:val="00CCFF"/>
          <w:sz w:val="24"/>
          <w:szCs w:val="24"/>
        </w:rPr>
        <w:tab/>
      </w:r>
      <w:r>
        <w:rPr>
          <w:rFonts w:ascii="Arial" w:hAnsi="Arial" w:cs="Arial"/>
          <w:i/>
          <w:color w:val="00CCFF"/>
          <w:sz w:val="24"/>
          <w:szCs w:val="24"/>
        </w:rPr>
        <w:tab/>
        <w:t>maximal mögliche Jahresarbeitsstunden</w:t>
      </w:r>
      <w:r>
        <w:rPr>
          <w:rStyle w:val="Funotenzeichen"/>
          <w:rFonts w:ascii="Arial" w:hAnsi="Arial" w:cs="Arial"/>
          <w:i/>
          <w:color w:val="00CCFF"/>
          <w:sz w:val="24"/>
          <w:szCs w:val="24"/>
        </w:rPr>
        <w:footnoteReference w:id="6"/>
      </w:r>
      <w:r>
        <w:rPr>
          <w:rFonts w:ascii="Arial" w:hAnsi="Arial" w:cs="Arial"/>
          <w:i/>
          <w:color w:val="00CCFF"/>
          <w:sz w:val="24"/>
          <w:szCs w:val="24"/>
        </w:rPr>
        <w:br/>
      </w:r>
      <w:r>
        <w:rPr>
          <w:rFonts w:ascii="Arial" w:hAnsi="Arial" w:cs="Arial"/>
          <w:i/>
          <w:color w:val="00CCFF"/>
          <w:sz w:val="24"/>
          <w:szCs w:val="24"/>
        </w:rPr>
        <w:br/>
      </w:r>
      <w:r>
        <w:rPr>
          <w:rFonts w:ascii="Arial" w:hAnsi="Arial" w:cs="Arial"/>
          <w:i/>
          <w:color w:val="00CCFF"/>
          <w:sz w:val="24"/>
          <w:szCs w:val="24"/>
        </w:rPr>
        <w:br/>
        <w:t>2) Angesetzt werden dürfen je Mitarbeiter nur die produktiven Arbeitsstunden:</w:t>
      </w:r>
      <w:r>
        <w:rPr>
          <w:rFonts w:ascii="Arial" w:hAnsi="Arial" w:cs="Arial"/>
          <w:i/>
          <w:color w:val="00CCFF"/>
          <w:sz w:val="24"/>
          <w:szCs w:val="24"/>
        </w:rPr>
        <w:br/>
      </w:r>
      <w:r>
        <w:rPr>
          <w:rFonts w:ascii="Arial" w:hAnsi="Arial" w:cs="Arial"/>
          <w:i/>
          <w:color w:val="00CCFF"/>
          <w:sz w:val="24"/>
          <w:szCs w:val="24"/>
        </w:rPr>
        <w:br/>
        <w:t>produktive Stunden eines Jahres = Wochenarbeitsstunden x (52 Wochen - Urlaub - Fehlzeiten</w:t>
      </w:r>
      <w:r>
        <w:rPr>
          <w:rStyle w:val="Funotenzeichen"/>
          <w:rFonts w:ascii="Arial" w:hAnsi="Arial" w:cs="Arial"/>
          <w:i/>
          <w:color w:val="00CCFF"/>
          <w:sz w:val="24"/>
          <w:szCs w:val="24"/>
        </w:rPr>
        <w:footnoteReference w:id="7"/>
      </w:r>
      <w:r>
        <w:rPr>
          <w:rFonts w:ascii="Arial" w:hAnsi="Arial" w:cs="Arial"/>
          <w:i/>
          <w:color w:val="00CCFF"/>
          <w:sz w:val="24"/>
          <w:szCs w:val="24"/>
        </w:rPr>
        <w:t>)</w:t>
      </w:r>
    </w:p>
    <w:p>
      <w:pPr>
        <w:pStyle w:val="berschrift1"/>
        <w:numPr>
          <w:ilvl w:val="0"/>
          <w:numId w:val="0"/>
        </w:numPr>
        <w:spacing w:before="240" w:after="120"/>
        <w:rPr>
          <w:rFonts w:cs="Arial"/>
          <w:bCs/>
          <w:sz w:val="28"/>
          <w:szCs w:val="28"/>
        </w:rPr>
      </w:pPr>
      <w:r>
        <w:rPr>
          <w:rFonts w:cs="Arial"/>
          <w:bCs/>
          <w:sz w:val="28"/>
          <w:szCs w:val="28"/>
        </w:rPr>
        <w:t>Pos. 0838 (Reisekosten)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Auflistung und Erläuterung der Reisen gemäß folgender Tabelle:</w:t>
      </w:r>
      <w:r>
        <w:rPr>
          <w:rFonts w:ascii="Arial" w:hAnsi="Arial" w:cs="Arial"/>
          <w:i/>
          <w:color w:val="00CCFF"/>
          <w:sz w:val="24"/>
          <w:szCs w:val="24"/>
        </w:rPr>
        <w:br/>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134"/>
        <w:gridCol w:w="1276"/>
        <w:gridCol w:w="2374"/>
      </w:tblGrid>
      <w:tr>
        <w:tc>
          <w:tcPr>
            <w:tcW w:w="9003" w:type="dxa"/>
            <w:gridSpan w:val="4"/>
          </w:tcPr>
          <w:p>
            <w:pPr>
              <w:autoSpaceDE w:val="0"/>
              <w:autoSpaceDN w:val="0"/>
              <w:adjustRightInd w:val="0"/>
              <w:rPr>
                <w:rFonts w:ascii="Arial" w:hAnsi="Arial" w:cs="Arial"/>
                <w:i/>
                <w:sz w:val="24"/>
                <w:szCs w:val="24"/>
              </w:rPr>
            </w:pPr>
            <w:r>
              <w:rPr>
                <w:rFonts w:ascii="Arial" w:hAnsi="Arial" w:cs="Arial"/>
                <w:i/>
                <w:sz w:val="24"/>
                <w:szCs w:val="24"/>
              </w:rPr>
              <w:t>Inlandsreisen</w:t>
            </w:r>
          </w:p>
        </w:tc>
      </w:tr>
      <w:tr>
        <w:tc>
          <w:tcPr>
            <w:tcW w:w="4219" w:type="dxa"/>
          </w:tcPr>
          <w:p>
            <w:pPr>
              <w:autoSpaceDE w:val="0"/>
              <w:autoSpaceDN w:val="0"/>
              <w:adjustRightInd w:val="0"/>
              <w:rPr>
                <w:rFonts w:ascii="Arial" w:hAnsi="Arial" w:cs="Arial"/>
                <w:i/>
                <w:sz w:val="24"/>
                <w:szCs w:val="24"/>
              </w:rPr>
            </w:pPr>
            <w:r>
              <w:rPr>
                <w:rFonts w:ascii="Arial" w:hAnsi="Arial" w:cs="Arial"/>
                <w:i/>
                <w:sz w:val="24"/>
                <w:szCs w:val="24"/>
              </w:rPr>
              <w:t>Ziel / Zweck</w:t>
            </w:r>
          </w:p>
        </w:tc>
        <w:tc>
          <w:tcPr>
            <w:tcW w:w="1134" w:type="dxa"/>
          </w:tcPr>
          <w:p>
            <w:pPr>
              <w:autoSpaceDE w:val="0"/>
              <w:autoSpaceDN w:val="0"/>
              <w:adjustRightInd w:val="0"/>
              <w:ind w:left="37" w:hanging="37"/>
              <w:rPr>
                <w:rFonts w:ascii="Arial" w:hAnsi="Arial" w:cs="Arial"/>
                <w:i/>
                <w:sz w:val="24"/>
                <w:szCs w:val="24"/>
              </w:rPr>
            </w:pPr>
            <w:proofErr w:type="gramStart"/>
            <w:r>
              <w:rPr>
                <w:rFonts w:ascii="Arial" w:hAnsi="Arial" w:cs="Arial"/>
                <w:i/>
                <w:sz w:val="24"/>
                <w:szCs w:val="24"/>
              </w:rPr>
              <w:t>Anzahl  Reisen</w:t>
            </w:r>
            <w:proofErr w:type="gramEnd"/>
          </w:p>
        </w:tc>
        <w:tc>
          <w:tcPr>
            <w:tcW w:w="1276" w:type="dxa"/>
          </w:tcPr>
          <w:p>
            <w:pPr>
              <w:autoSpaceDE w:val="0"/>
              <w:autoSpaceDN w:val="0"/>
              <w:adjustRightInd w:val="0"/>
              <w:rPr>
                <w:rFonts w:ascii="Arial" w:hAnsi="Arial" w:cs="Arial"/>
                <w:i/>
                <w:sz w:val="24"/>
                <w:szCs w:val="24"/>
              </w:rPr>
            </w:pPr>
            <w:r>
              <w:rPr>
                <w:rFonts w:ascii="Arial" w:hAnsi="Arial" w:cs="Arial"/>
                <w:i/>
                <w:sz w:val="24"/>
                <w:szCs w:val="24"/>
              </w:rPr>
              <w:t>Anzahl Personen</w:t>
            </w:r>
            <w:r>
              <w:rPr>
                <w:rFonts w:ascii="Arial" w:hAnsi="Arial" w:cs="Arial"/>
                <w:i/>
                <w:sz w:val="24"/>
                <w:szCs w:val="24"/>
              </w:rPr>
              <w:br/>
              <w:t>pro Reise</w:t>
            </w:r>
          </w:p>
        </w:tc>
        <w:tc>
          <w:tcPr>
            <w:tcW w:w="2374" w:type="dxa"/>
          </w:tcPr>
          <w:p>
            <w:pPr>
              <w:autoSpaceDE w:val="0"/>
              <w:autoSpaceDN w:val="0"/>
              <w:adjustRightInd w:val="0"/>
              <w:rPr>
                <w:rFonts w:ascii="Arial" w:hAnsi="Arial" w:cs="Arial"/>
                <w:i/>
                <w:sz w:val="24"/>
                <w:szCs w:val="24"/>
              </w:rPr>
            </w:pPr>
            <w:r>
              <w:rPr>
                <w:rFonts w:ascii="Arial" w:hAnsi="Arial" w:cs="Arial"/>
                <w:i/>
                <w:sz w:val="24"/>
                <w:szCs w:val="24"/>
              </w:rPr>
              <w:t>Kosten pro Reise und Person</w:t>
            </w: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9003" w:type="dxa"/>
            <w:gridSpan w:val="4"/>
          </w:tcPr>
          <w:p>
            <w:pPr>
              <w:autoSpaceDE w:val="0"/>
              <w:autoSpaceDN w:val="0"/>
              <w:adjustRightInd w:val="0"/>
              <w:rPr>
                <w:rFonts w:ascii="Arial" w:hAnsi="Arial" w:cs="Arial"/>
                <w:i/>
                <w:sz w:val="24"/>
                <w:szCs w:val="24"/>
              </w:rPr>
            </w:pPr>
            <w:r>
              <w:rPr>
                <w:rFonts w:ascii="Arial" w:hAnsi="Arial" w:cs="Arial"/>
                <w:i/>
                <w:sz w:val="24"/>
                <w:szCs w:val="24"/>
              </w:rPr>
              <w:t>Auslandsreisen</w:t>
            </w:r>
          </w:p>
        </w:tc>
      </w:tr>
      <w:tr>
        <w:tc>
          <w:tcPr>
            <w:tcW w:w="4219" w:type="dxa"/>
          </w:tcPr>
          <w:p>
            <w:pPr>
              <w:autoSpaceDE w:val="0"/>
              <w:autoSpaceDN w:val="0"/>
              <w:adjustRightInd w:val="0"/>
              <w:rPr>
                <w:rFonts w:ascii="Arial" w:hAnsi="Arial" w:cs="Arial"/>
                <w:i/>
                <w:sz w:val="24"/>
                <w:szCs w:val="24"/>
              </w:rPr>
            </w:pPr>
            <w:r>
              <w:rPr>
                <w:rFonts w:ascii="Arial" w:hAnsi="Arial" w:cs="Arial"/>
                <w:i/>
                <w:sz w:val="24"/>
                <w:szCs w:val="24"/>
              </w:rPr>
              <w:t>Ziel / Zweck</w:t>
            </w:r>
          </w:p>
        </w:tc>
        <w:tc>
          <w:tcPr>
            <w:tcW w:w="1134" w:type="dxa"/>
          </w:tcPr>
          <w:p>
            <w:pPr>
              <w:autoSpaceDE w:val="0"/>
              <w:autoSpaceDN w:val="0"/>
              <w:adjustRightInd w:val="0"/>
              <w:ind w:left="37" w:hanging="37"/>
              <w:rPr>
                <w:rFonts w:ascii="Arial" w:hAnsi="Arial" w:cs="Arial"/>
                <w:i/>
                <w:sz w:val="24"/>
                <w:szCs w:val="24"/>
              </w:rPr>
            </w:pPr>
            <w:proofErr w:type="gramStart"/>
            <w:r>
              <w:rPr>
                <w:rFonts w:ascii="Arial" w:hAnsi="Arial" w:cs="Arial"/>
                <w:i/>
                <w:sz w:val="24"/>
                <w:szCs w:val="24"/>
              </w:rPr>
              <w:t>Anzahl  Reisen</w:t>
            </w:r>
            <w:proofErr w:type="gramEnd"/>
          </w:p>
        </w:tc>
        <w:tc>
          <w:tcPr>
            <w:tcW w:w="1276" w:type="dxa"/>
          </w:tcPr>
          <w:p>
            <w:pPr>
              <w:autoSpaceDE w:val="0"/>
              <w:autoSpaceDN w:val="0"/>
              <w:adjustRightInd w:val="0"/>
              <w:rPr>
                <w:rFonts w:ascii="Arial" w:hAnsi="Arial" w:cs="Arial"/>
                <w:i/>
                <w:sz w:val="24"/>
                <w:szCs w:val="24"/>
              </w:rPr>
            </w:pPr>
            <w:r>
              <w:rPr>
                <w:rFonts w:ascii="Arial" w:hAnsi="Arial" w:cs="Arial"/>
                <w:i/>
                <w:sz w:val="24"/>
                <w:szCs w:val="24"/>
              </w:rPr>
              <w:t>Anzahl Personen</w:t>
            </w:r>
            <w:r>
              <w:rPr>
                <w:rFonts w:ascii="Arial" w:hAnsi="Arial" w:cs="Arial"/>
                <w:i/>
                <w:sz w:val="24"/>
                <w:szCs w:val="24"/>
              </w:rPr>
              <w:br/>
              <w:t>pro Reise</w:t>
            </w:r>
          </w:p>
        </w:tc>
        <w:tc>
          <w:tcPr>
            <w:tcW w:w="2374" w:type="dxa"/>
          </w:tcPr>
          <w:p>
            <w:pPr>
              <w:autoSpaceDE w:val="0"/>
              <w:autoSpaceDN w:val="0"/>
              <w:adjustRightInd w:val="0"/>
              <w:rPr>
                <w:rFonts w:ascii="Arial" w:hAnsi="Arial" w:cs="Arial"/>
                <w:i/>
                <w:sz w:val="24"/>
                <w:szCs w:val="24"/>
              </w:rPr>
            </w:pPr>
            <w:r>
              <w:rPr>
                <w:rFonts w:ascii="Arial" w:hAnsi="Arial" w:cs="Arial"/>
                <w:i/>
                <w:sz w:val="24"/>
                <w:szCs w:val="24"/>
              </w:rPr>
              <w:t>Kosten pro Reise und Person</w:t>
            </w: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r>
        <w:tc>
          <w:tcPr>
            <w:tcW w:w="4219" w:type="dxa"/>
          </w:tcPr>
          <w:p>
            <w:pPr>
              <w:autoSpaceDE w:val="0"/>
              <w:autoSpaceDN w:val="0"/>
              <w:adjustRightInd w:val="0"/>
              <w:rPr>
                <w:rFonts w:ascii="Arial" w:hAnsi="Arial" w:cs="Arial"/>
                <w:i/>
                <w:sz w:val="24"/>
                <w:szCs w:val="24"/>
              </w:rPr>
            </w:pPr>
          </w:p>
        </w:tc>
        <w:tc>
          <w:tcPr>
            <w:tcW w:w="1134" w:type="dxa"/>
          </w:tcPr>
          <w:p>
            <w:pPr>
              <w:autoSpaceDE w:val="0"/>
              <w:autoSpaceDN w:val="0"/>
              <w:adjustRightInd w:val="0"/>
              <w:ind w:left="37" w:hanging="37"/>
              <w:rPr>
                <w:rFonts w:ascii="Arial" w:hAnsi="Arial" w:cs="Arial"/>
                <w:i/>
                <w:sz w:val="24"/>
                <w:szCs w:val="24"/>
              </w:rPr>
            </w:pPr>
          </w:p>
        </w:tc>
        <w:tc>
          <w:tcPr>
            <w:tcW w:w="1276" w:type="dxa"/>
          </w:tcPr>
          <w:p>
            <w:pPr>
              <w:autoSpaceDE w:val="0"/>
              <w:autoSpaceDN w:val="0"/>
              <w:adjustRightInd w:val="0"/>
              <w:rPr>
                <w:rFonts w:ascii="Arial" w:hAnsi="Arial" w:cs="Arial"/>
                <w:i/>
                <w:sz w:val="24"/>
                <w:szCs w:val="24"/>
              </w:rPr>
            </w:pPr>
          </w:p>
        </w:tc>
        <w:tc>
          <w:tcPr>
            <w:tcW w:w="2374" w:type="dxa"/>
          </w:tcPr>
          <w:p>
            <w:pPr>
              <w:autoSpaceDE w:val="0"/>
              <w:autoSpaceDN w:val="0"/>
              <w:adjustRightInd w:val="0"/>
              <w:rPr>
                <w:rFonts w:ascii="Arial" w:hAnsi="Arial" w:cs="Arial"/>
                <w:i/>
                <w:sz w:val="24"/>
                <w:szCs w:val="24"/>
              </w:rPr>
            </w:pPr>
          </w:p>
        </w:tc>
      </w:tr>
    </w:tbl>
    <w:p>
      <w:pPr>
        <w:autoSpaceDE w:val="0"/>
        <w:autoSpaceDN w:val="0"/>
        <w:adjustRightInd w:val="0"/>
        <w:rPr>
          <w:rFonts w:ascii="Arial" w:hAnsi="Arial" w:cs="Arial"/>
          <w:i/>
          <w:color w:val="00CCFF"/>
          <w:sz w:val="24"/>
          <w:szCs w:val="24"/>
        </w:rPr>
      </w:pP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Beim Besuch internationaler Konferenzen: Warum ist der Besuch notwendig für die Durchführung des Vorhabens? Findet eine Beobachtung internationaler Trends und Entwicklungen und die Vorstellung und Diskussion eigener Ergebnisse statt?</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Beim Besuch von Messen: Wie grenzt sich der Besuch ggf. von einem gewerblichen Messeauftritt des Unternehmens/der Forschungseinrichtung ab?</w:t>
      </w:r>
    </w:p>
    <w:bookmarkEnd w:id="0"/>
    <w:p>
      <w:pPr>
        <w:pStyle w:val="berschrift1"/>
        <w:numPr>
          <w:ilvl w:val="0"/>
          <w:numId w:val="0"/>
        </w:numPr>
        <w:spacing w:before="240" w:after="120"/>
        <w:rPr>
          <w:rFonts w:cs="Arial"/>
          <w:bCs/>
          <w:sz w:val="28"/>
          <w:szCs w:val="28"/>
        </w:rPr>
      </w:pPr>
      <w:r>
        <w:rPr>
          <w:rFonts w:cs="Arial"/>
          <w:bCs/>
          <w:sz w:val="28"/>
          <w:szCs w:val="28"/>
        </w:rPr>
        <w:t>Pos. 0847 (Abschreibungen auf vorhabenspezifische Anlagen)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Ansätze erläutern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Angaben zu Abschreibungsdauer und Nutzungsdauer im Vorhaben erläutern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In der Regel sind drei Vergleichsangebote vorzulegen. Falls jedoch nur ein bestimmter Anbieter in Frage kommt, muss das Alleinstellungsmerkmal erläutert werden. Für die Zuordnung der Vergleichsangebote bzw. die Erläuterung des Alleinstellungsmerkmals ist die am Ende des Musters stehende Tabelle zu verwenden.</w:t>
      </w:r>
    </w:p>
    <w:p>
      <w:pPr>
        <w:pStyle w:val="berschrift1"/>
        <w:numPr>
          <w:ilvl w:val="0"/>
          <w:numId w:val="0"/>
        </w:numPr>
        <w:spacing w:before="240" w:after="120"/>
        <w:rPr>
          <w:rFonts w:cs="Arial"/>
          <w:bCs/>
          <w:sz w:val="28"/>
          <w:szCs w:val="28"/>
        </w:rPr>
      </w:pPr>
      <w:r>
        <w:rPr>
          <w:rFonts w:cs="Arial"/>
          <w:bCs/>
          <w:sz w:val="28"/>
          <w:szCs w:val="28"/>
        </w:rPr>
        <w:t>Pos. 0850 (Sonstige unmittelbare Vorhabenkosten)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Hierunter fallen beispielsweise notwendige externe Dienstleistungen soweit diese nicht den </w:t>
      </w:r>
      <w:proofErr w:type="spellStart"/>
      <w:r>
        <w:rPr>
          <w:rFonts w:ascii="Arial" w:hAnsi="Arial" w:cs="Arial"/>
          <w:i/>
          <w:color w:val="00CCFF"/>
          <w:sz w:val="24"/>
          <w:szCs w:val="24"/>
        </w:rPr>
        <w:t>FuE</w:t>
      </w:r>
      <w:proofErr w:type="spellEnd"/>
      <w:r>
        <w:rPr>
          <w:rFonts w:ascii="Arial" w:hAnsi="Arial" w:cs="Arial"/>
          <w:i/>
          <w:color w:val="00CCFF"/>
          <w:sz w:val="24"/>
          <w:szCs w:val="24"/>
        </w:rPr>
        <w:t xml:space="preserve">-Fremdleistungen zuzurechnen sind. </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Ansätze erläutern und mit Angeboten belegen.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In der Regel sind drei Vergleichsangebote vorzulegen. Falls jedoch nur ein bestimmter Anbieter in Frage kommt, muss das Alleinstellungsmerkmal erläutert werden. Für die Zuordnung der Vergleichsangebote bzw. die Erläuterung des Alleinstellungsmerkmals ist die </w:t>
      </w:r>
      <w:bookmarkStart w:id="1" w:name="OLE_LINK2"/>
      <w:r>
        <w:rPr>
          <w:rFonts w:ascii="Arial" w:hAnsi="Arial" w:cs="Arial"/>
          <w:i/>
          <w:color w:val="00CCFF"/>
          <w:sz w:val="24"/>
          <w:szCs w:val="24"/>
        </w:rPr>
        <w:t>am Ende</w:t>
      </w:r>
      <w:bookmarkEnd w:id="1"/>
      <w:r>
        <w:rPr>
          <w:rFonts w:ascii="Arial" w:hAnsi="Arial" w:cs="Arial"/>
          <w:i/>
          <w:color w:val="00CCFF"/>
          <w:sz w:val="24"/>
          <w:szCs w:val="24"/>
        </w:rPr>
        <w:t xml:space="preserve"> des Musters stehende Tabelle zu verwenden.</w:t>
      </w:r>
    </w:p>
    <w:p>
      <w:pPr>
        <w:pStyle w:val="berschrift1"/>
        <w:numPr>
          <w:ilvl w:val="0"/>
          <w:numId w:val="0"/>
        </w:numPr>
        <w:spacing w:before="240" w:after="120"/>
        <w:rPr>
          <w:rFonts w:cs="Arial"/>
          <w:bCs/>
          <w:sz w:val="28"/>
          <w:szCs w:val="28"/>
        </w:rPr>
      </w:pPr>
      <w:r>
        <w:rPr>
          <w:rFonts w:cs="Arial"/>
          <w:bCs/>
          <w:sz w:val="28"/>
          <w:szCs w:val="28"/>
        </w:rPr>
        <w:t>Tabellarische Zuordnung der Angebote</w:t>
      </w:r>
    </w:p>
    <w:p>
      <w:pPr>
        <w:autoSpaceDE w:val="0"/>
        <w:autoSpaceDN w:val="0"/>
        <w:adjustRightInd w:val="0"/>
        <w:rPr>
          <w:rFonts w:ascii="Arial" w:hAnsi="Arial" w:cs="Arial"/>
          <w:i/>
          <w:color w:val="00CCFF"/>
          <w:sz w:val="24"/>
          <w:szCs w:val="24"/>
        </w:rPr>
      </w:pPr>
      <w:r>
        <w:rPr>
          <w:rFonts w:ascii="Arial" w:hAnsi="Arial" w:cs="Arial"/>
          <w:i/>
          <w:color w:val="00CCFF"/>
          <w:sz w:val="24"/>
          <w:szCs w:val="24"/>
        </w:rPr>
        <w:t>Hinweise zum Ausfüllen dieser Aufstellung:</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In den ersten Zeilen finden Sie Beispiele zum Ausfüllen der Tabelle. </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Bitte weisen Sie allen vorzulegenden Angeboten eine eindeutige Kennzeichnung zu (z.B. 1a, 1b, 1c für die drei Vergleichsangebote zu einer Position).</w:t>
      </w:r>
    </w:p>
    <w:p>
      <w:pPr>
        <w:autoSpaceDE w:val="0"/>
        <w:autoSpaceDN w:val="0"/>
        <w:adjustRightInd w:val="0"/>
        <w:rPr>
          <w:rFonts w:ascii="Arial" w:hAnsi="Arial" w:cs="Arial"/>
          <w:i/>
          <w:color w:val="00CCFF"/>
          <w:sz w:val="24"/>
          <w:szCs w:val="24"/>
        </w:rPr>
      </w:pPr>
    </w:p>
    <w:p>
      <w:pPr>
        <w:autoSpaceDE w:val="0"/>
        <w:autoSpaceDN w:val="0"/>
        <w:adjustRightInd w:val="0"/>
        <w:rPr>
          <w:rFonts w:ascii="Arial" w:hAnsi="Arial" w:cs="Arial"/>
          <w:i/>
          <w:color w:val="00CCFF"/>
          <w:sz w:val="24"/>
          <w:szCs w:val="24"/>
        </w:rPr>
      </w:pPr>
    </w:p>
    <w:p>
      <w:pPr>
        <w:autoSpaceDE w:val="0"/>
        <w:autoSpaceDN w:val="0"/>
        <w:adjustRightInd w:val="0"/>
        <w:rPr>
          <w:rFonts w:ascii="Arial" w:hAnsi="Arial" w:cs="Arial"/>
          <w:i/>
          <w:color w:val="00CCFF"/>
          <w:sz w:val="24"/>
          <w:szCs w:val="24"/>
        </w:rPr>
      </w:pPr>
    </w:p>
    <w:p>
      <w:pPr>
        <w:autoSpaceDE w:val="0"/>
        <w:autoSpaceDN w:val="0"/>
        <w:adjustRightInd w:val="0"/>
        <w:rPr>
          <w:rFonts w:ascii="Arial" w:hAnsi="Arial" w:cs="Arial"/>
          <w:i/>
          <w:color w:val="00CCFF"/>
          <w:sz w:val="24"/>
          <w:szCs w:val="24"/>
        </w:rPr>
      </w:pPr>
    </w:p>
    <w:p>
      <w:pPr>
        <w:autoSpaceDE w:val="0"/>
        <w:autoSpaceDN w:val="0"/>
        <w:adjustRightInd w:val="0"/>
        <w:rPr>
          <w:rFonts w:ascii="Arial" w:hAnsi="Arial" w:cs="Arial"/>
          <w:i/>
          <w:color w:val="00CCFF"/>
          <w:sz w:val="24"/>
          <w:szCs w:val="24"/>
        </w:rPr>
      </w:pPr>
    </w:p>
    <w:p>
      <w:pPr>
        <w:autoSpaceDE w:val="0"/>
        <w:autoSpaceDN w:val="0"/>
        <w:adjustRightInd w:val="0"/>
        <w:rPr>
          <w:rFonts w:ascii="Arial" w:hAnsi="Arial" w:cs="Arial"/>
          <w:i/>
          <w:color w:val="00CCFF"/>
          <w:sz w:val="24"/>
          <w:szCs w:val="24"/>
        </w:rPr>
      </w:pPr>
    </w:p>
    <w:p>
      <w:pPr>
        <w:autoSpaceDE w:val="0"/>
        <w:autoSpaceDN w:val="0"/>
        <w:adjustRightInd w:val="0"/>
        <w:rPr>
          <w:rFonts w:ascii="Arial" w:hAnsi="Arial" w:cs="Arial"/>
          <w:i/>
          <w:color w:val="00CCFF"/>
          <w:sz w:val="24"/>
          <w:szCs w:val="24"/>
        </w:rPr>
      </w:pPr>
    </w:p>
    <w:p>
      <w:pPr>
        <w:rPr>
          <w:color w:val="00CCFF"/>
        </w:rPr>
      </w:pPr>
    </w:p>
    <w:tbl>
      <w:tblPr>
        <w:tblW w:w="9369" w:type="dxa"/>
        <w:tblInd w:w="55" w:type="dxa"/>
        <w:tblLayout w:type="fixed"/>
        <w:tblCellMar>
          <w:left w:w="70" w:type="dxa"/>
          <w:right w:w="70" w:type="dxa"/>
        </w:tblCellMar>
        <w:tblLook w:val="0000" w:firstRow="0" w:lastRow="0" w:firstColumn="0" w:lastColumn="0" w:noHBand="0" w:noVBand="0"/>
      </w:tblPr>
      <w:tblGrid>
        <w:gridCol w:w="1060"/>
        <w:gridCol w:w="1507"/>
        <w:gridCol w:w="2693"/>
        <w:gridCol w:w="535"/>
        <w:gridCol w:w="567"/>
        <w:gridCol w:w="567"/>
        <w:gridCol w:w="2440"/>
      </w:tblGrid>
      <w:tr>
        <w:trPr>
          <w:trHeight w:val="285"/>
        </w:trPr>
        <w:tc>
          <w:tcPr>
            <w:tcW w:w="1060" w:type="dxa"/>
            <w:vMerge w:val="restart"/>
            <w:tcBorders>
              <w:top w:val="nil"/>
              <w:left w:val="single" w:sz="4" w:space="0" w:color="auto"/>
              <w:right w:val="single" w:sz="4" w:space="0" w:color="auto"/>
            </w:tcBorders>
            <w:shd w:val="clear" w:color="auto" w:fill="C0C0C0"/>
          </w:tcPr>
          <w:p>
            <w:pPr>
              <w:rPr>
                <w:rFonts w:ascii="Arial" w:hAnsi="Arial" w:cs="Arial"/>
              </w:rPr>
            </w:pPr>
          </w:p>
          <w:p>
            <w:pPr>
              <w:rPr>
                <w:rFonts w:ascii="Arial" w:hAnsi="Arial" w:cs="Arial"/>
              </w:rPr>
            </w:pPr>
            <w:r>
              <w:rPr>
                <w:rFonts w:ascii="Arial" w:hAnsi="Arial" w:cs="Arial"/>
              </w:rPr>
              <w:t>Position / lfd. Nr. im AZK</w:t>
            </w:r>
          </w:p>
        </w:tc>
        <w:tc>
          <w:tcPr>
            <w:tcW w:w="1507" w:type="dxa"/>
            <w:vMerge w:val="restart"/>
            <w:tcBorders>
              <w:top w:val="nil"/>
              <w:left w:val="nil"/>
              <w:right w:val="single" w:sz="4" w:space="0" w:color="auto"/>
            </w:tcBorders>
            <w:shd w:val="clear" w:color="auto" w:fill="C0C0C0"/>
          </w:tcPr>
          <w:p>
            <w:pPr>
              <w:rPr>
                <w:rFonts w:ascii="Arial" w:hAnsi="Arial" w:cs="Arial"/>
              </w:rPr>
            </w:pPr>
          </w:p>
          <w:p>
            <w:pPr>
              <w:rPr>
                <w:rFonts w:ascii="Arial" w:hAnsi="Arial" w:cs="Arial"/>
              </w:rPr>
            </w:pPr>
            <w:r>
              <w:rPr>
                <w:rFonts w:ascii="Arial" w:hAnsi="Arial" w:cs="Arial"/>
              </w:rPr>
              <w:t>Ansatz in AZK</w:t>
            </w:r>
          </w:p>
        </w:tc>
        <w:tc>
          <w:tcPr>
            <w:tcW w:w="2693" w:type="dxa"/>
            <w:vMerge w:val="restart"/>
            <w:tcBorders>
              <w:top w:val="nil"/>
              <w:left w:val="nil"/>
              <w:right w:val="single" w:sz="4" w:space="0" w:color="auto"/>
            </w:tcBorders>
            <w:shd w:val="clear" w:color="auto" w:fill="C0C0C0"/>
          </w:tcPr>
          <w:p>
            <w:pPr>
              <w:rPr>
                <w:rFonts w:ascii="Arial" w:hAnsi="Arial" w:cs="Arial"/>
              </w:rPr>
            </w:pPr>
          </w:p>
          <w:p>
            <w:pPr>
              <w:rPr>
                <w:rFonts w:ascii="Arial" w:hAnsi="Arial" w:cs="Arial"/>
              </w:rPr>
            </w:pPr>
            <w:r>
              <w:rPr>
                <w:rFonts w:ascii="Arial" w:hAnsi="Arial" w:cs="Arial"/>
              </w:rPr>
              <w:t>Erläuterung der Kalkulation des Ansatzes auf Basis des Referenzangebots</w:t>
            </w:r>
          </w:p>
        </w:tc>
        <w:tc>
          <w:tcPr>
            <w:tcW w:w="1669" w:type="dxa"/>
            <w:gridSpan w:val="3"/>
            <w:tcBorders>
              <w:top w:val="nil"/>
              <w:left w:val="nil"/>
              <w:bottom w:val="nil"/>
              <w:right w:val="single" w:sz="4" w:space="0" w:color="000000"/>
            </w:tcBorders>
            <w:shd w:val="clear" w:color="auto" w:fill="C0C0C0"/>
            <w:vAlign w:val="center"/>
          </w:tcPr>
          <w:p>
            <w:pPr>
              <w:rPr>
                <w:rFonts w:ascii="Arial" w:hAnsi="Arial" w:cs="Arial"/>
              </w:rPr>
            </w:pPr>
            <w:r>
              <w:rPr>
                <w:rFonts w:ascii="Arial" w:hAnsi="Arial" w:cs="Arial"/>
              </w:rPr>
              <w:t>Zuordnung der Angebote</w:t>
            </w:r>
          </w:p>
        </w:tc>
        <w:tc>
          <w:tcPr>
            <w:tcW w:w="2440" w:type="dxa"/>
            <w:vMerge w:val="restart"/>
            <w:tcBorders>
              <w:top w:val="nil"/>
              <w:left w:val="nil"/>
              <w:right w:val="single" w:sz="4" w:space="0" w:color="auto"/>
            </w:tcBorders>
            <w:shd w:val="clear" w:color="auto" w:fill="C0C0C0"/>
          </w:tcPr>
          <w:p>
            <w:pPr>
              <w:rPr>
                <w:rFonts w:ascii="Arial" w:hAnsi="Arial" w:cs="Arial"/>
              </w:rPr>
            </w:pPr>
          </w:p>
          <w:p>
            <w:pPr>
              <w:rPr>
                <w:rFonts w:ascii="Arial" w:hAnsi="Arial" w:cs="Arial"/>
              </w:rPr>
            </w:pPr>
            <w:r>
              <w:rPr>
                <w:rFonts w:ascii="Arial" w:hAnsi="Arial" w:cs="Arial"/>
              </w:rPr>
              <w:t xml:space="preserve">Alleinstellungsmerkmal </w:t>
            </w:r>
            <w:r>
              <w:rPr>
                <w:rFonts w:ascii="Arial" w:hAnsi="Arial" w:cs="Arial"/>
              </w:rPr>
              <w:br/>
              <w:t>(falls nur ein bestimmter Anbieter in Frage kommt)</w:t>
            </w:r>
          </w:p>
        </w:tc>
      </w:tr>
      <w:tr>
        <w:trPr>
          <w:cantSplit/>
          <w:trHeight w:val="1617"/>
        </w:trPr>
        <w:tc>
          <w:tcPr>
            <w:tcW w:w="1060" w:type="dxa"/>
            <w:vMerge/>
            <w:tcBorders>
              <w:left w:val="single" w:sz="4" w:space="0" w:color="auto"/>
              <w:bottom w:val="nil"/>
              <w:right w:val="single" w:sz="4" w:space="0" w:color="auto"/>
            </w:tcBorders>
            <w:shd w:val="clear" w:color="auto" w:fill="C0C0C0"/>
            <w:vAlign w:val="center"/>
          </w:tcPr>
          <w:p>
            <w:pPr>
              <w:rPr>
                <w:rFonts w:ascii="Arial" w:hAnsi="Arial" w:cs="Arial"/>
              </w:rPr>
            </w:pPr>
          </w:p>
        </w:tc>
        <w:tc>
          <w:tcPr>
            <w:tcW w:w="1507" w:type="dxa"/>
            <w:vMerge/>
            <w:tcBorders>
              <w:left w:val="nil"/>
              <w:bottom w:val="nil"/>
              <w:right w:val="single" w:sz="4" w:space="0" w:color="auto"/>
            </w:tcBorders>
            <w:shd w:val="clear" w:color="auto" w:fill="C0C0C0"/>
            <w:vAlign w:val="center"/>
          </w:tcPr>
          <w:p>
            <w:pPr>
              <w:rPr>
                <w:rFonts w:ascii="Arial" w:hAnsi="Arial" w:cs="Arial"/>
              </w:rPr>
            </w:pPr>
          </w:p>
        </w:tc>
        <w:tc>
          <w:tcPr>
            <w:tcW w:w="2693" w:type="dxa"/>
            <w:vMerge/>
            <w:tcBorders>
              <w:left w:val="nil"/>
              <w:bottom w:val="nil"/>
              <w:right w:val="single" w:sz="4" w:space="0" w:color="auto"/>
            </w:tcBorders>
            <w:shd w:val="clear" w:color="auto" w:fill="C0C0C0"/>
            <w:vAlign w:val="center"/>
          </w:tcPr>
          <w:p>
            <w:pPr>
              <w:rPr>
                <w:rFonts w:ascii="Arial" w:hAnsi="Arial" w:cs="Arial"/>
              </w:rPr>
            </w:pPr>
          </w:p>
        </w:tc>
        <w:tc>
          <w:tcPr>
            <w:tcW w:w="535" w:type="dxa"/>
            <w:tcBorders>
              <w:top w:val="nil"/>
              <w:left w:val="nil"/>
              <w:bottom w:val="nil"/>
              <w:right w:val="single" w:sz="4" w:space="0" w:color="auto"/>
            </w:tcBorders>
            <w:shd w:val="clear" w:color="auto" w:fill="C0C0C0"/>
            <w:textDirection w:val="btLr"/>
            <w:vAlign w:val="center"/>
          </w:tcPr>
          <w:p>
            <w:pPr>
              <w:ind w:left="113" w:right="113"/>
              <w:rPr>
                <w:rFonts w:ascii="Arial" w:hAnsi="Arial" w:cs="Arial"/>
              </w:rPr>
            </w:pPr>
            <w:r>
              <w:rPr>
                <w:rFonts w:ascii="Arial" w:hAnsi="Arial" w:cs="Arial"/>
              </w:rPr>
              <w:t>Referenz-angebot</w:t>
            </w:r>
          </w:p>
        </w:tc>
        <w:tc>
          <w:tcPr>
            <w:tcW w:w="567" w:type="dxa"/>
            <w:tcBorders>
              <w:top w:val="nil"/>
              <w:left w:val="nil"/>
              <w:bottom w:val="nil"/>
              <w:right w:val="single" w:sz="4" w:space="0" w:color="auto"/>
            </w:tcBorders>
            <w:shd w:val="clear" w:color="auto" w:fill="C0C0C0"/>
            <w:textDirection w:val="btLr"/>
            <w:vAlign w:val="center"/>
          </w:tcPr>
          <w:p>
            <w:pPr>
              <w:ind w:left="113" w:right="113"/>
              <w:rPr>
                <w:rFonts w:ascii="Arial" w:hAnsi="Arial" w:cs="Arial"/>
              </w:rPr>
            </w:pPr>
            <w:r>
              <w:rPr>
                <w:rFonts w:ascii="Arial" w:hAnsi="Arial" w:cs="Arial"/>
              </w:rPr>
              <w:t>1. Vergleichs-angebot</w:t>
            </w:r>
          </w:p>
        </w:tc>
        <w:tc>
          <w:tcPr>
            <w:tcW w:w="567" w:type="dxa"/>
            <w:tcBorders>
              <w:top w:val="nil"/>
              <w:left w:val="nil"/>
              <w:bottom w:val="nil"/>
              <w:right w:val="single" w:sz="4" w:space="0" w:color="auto"/>
            </w:tcBorders>
            <w:shd w:val="clear" w:color="auto" w:fill="C0C0C0"/>
            <w:textDirection w:val="btLr"/>
            <w:vAlign w:val="center"/>
          </w:tcPr>
          <w:p>
            <w:pPr>
              <w:ind w:left="113" w:right="113"/>
              <w:rPr>
                <w:rFonts w:ascii="Arial" w:hAnsi="Arial" w:cs="Arial"/>
              </w:rPr>
            </w:pPr>
            <w:r>
              <w:rPr>
                <w:rFonts w:ascii="Arial" w:hAnsi="Arial" w:cs="Arial"/>
              </w:rPr>
              <w:t>2. Vergleichs-angebot</w:t>
            </w:r>
          </w:p>
        </w:tc>
        <w:tc>
          <w:tcPr>
            <w:tcW w:w="2440" w:type="dxa"/>
            <w:vMerge/>
            <w:tcBorders>
              <w:left w:val="nil"/>
              <w:bottom w:val="nil"/>
              <w:right w:val="single" w:sz="4" w:space="0" w:color="auto"/>
            </w:tcBorders>
            <w:shd w:val="clear" w:color="auto" w:fill="C0C0C0"/>
            <w:vAlign w:val="center"/>
          </w:tcPr>
          <w:p>
            <w:pPr>
              <w:rPr>
                <w:rFonts w:ascii="Arial" w:hAnsi="Arial" w:cs="Arial"/>
              </w:rPr>
            </w:pP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i/>
                <w:color w:val="00CCFF"/>
              </w:rPr>
            </w:pPr>
            <w:r>
              <w:rPr>
                <w:rFonts w:ascii="Arial" w:hAnsi="Arial" w:cs="Arial"/>
                <w:i/>
                <w:color w:val="00CCFF"/>
              </w:rPr>
              <w:t>0823 / 1</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i/>
                <w:color w:val="00CCFF"/>
              </w:rPr>
            </w:pPr>
            <w:r>
              <w:rPr>
                <w:rFonts w:ascii="Arial" w:hAnsi="Arial" w:cs="Arial"/>
                <w:i/>
                <w:color w:val="00CCFF"/>
              </w:rPr>
              <w:t>180.000,00 €</w:t>
            </w:r>
          </w:p>
        </w:tc>
        <w:tc>
          <w:tcPr>
            <w:tcW w:w="2693" w:type="dxa"/>
            <w:tcBorders>
              <w:top w:val="nil"/>
              <w:left w:val="nil"/>
              <w:bottom w:val="single" w:sz="4" w:space="0" w:color="auto"/>
              <w:right w:val="single" w:sz="4" w:space="0" w:color="auto"/>
            </w:tcBorders>
            <w:shd w:val="clear" w:color="auto" w:fill="auto"/>
          </w:tcPr>
          <w:p>
            <w:pPr>
              <w:rPr>
                <w:rFonts w:ascii="Arial" w:hAnsi="Arial" w:cs="Arial"/>
                <w:i/>
                <w:color w:val="00CCFF"/>
              </w:rPr>
            </w:pPr>
            <w:r>
              <w:rPr>
                <w:rFonts w:ascii="Arial" w:hAnsi="Arial" w:cs="Arial"/>
                <w:i/>
                <w:color w:val="00CCFF"/>
              </w:rPr>
              <w:t>Kosten laut Angebot 1</w:t>
            </w:r>
          </w:p>
        </w:tc>
        <w:tc>
          <w:tcPr>
            <w:tcW w:w="535" w:type="dxa"/>
            <w:tcBorders>
              <w:top w:val="nil"/>
              <w:left w:val="nil"/>
              <w:bottom w:val="single" w:sz="4" w:space="0" w:color="auto"/>
              <w:right w:val="single" w:sz="4" w:space="0" w:color="auto"/>
            </w:tcBorders>
            <w:shd w:val="clear" w:color="auto" w:fill="auto"/>
          </w:tcPr>
          <w:p>
            <w:pPr>
              <w:jc w:val="right"/>
              <w:rPr>
                <w:rFonts w:ascii="Arial" w:hAnsi="Arial" w:cs="Arial"/>
                <w:i/>
                <w:color w:val="00CCFF"/>
              </w:rPr>
            </w:pPr>
            <w:r>
              <w:rPr>
                <w:rFonts w:ascii="Arial" w:hAnsi="Arial" w:cs="Arial"/>
                <w:i/>
                <w:color w:val="00CCFF"/>
              </w:rPr>
              <w:t>1 </w:t>
            </w:r>
          </w:p>
        </w:tc>
        <w:tc>
          <w:tcPr>
            <w:tcW w:w="567" w:type="dxa"/>
            <w:tcBorders>
              <w:top w:val="nil"/>
              <w:left w:val="nil"/>
              <w:bottom w:val="single" w:sz="4" w:space="0" w:color="auto"/>
              <w:right w:val="single" w:sz="4" w:space="0" w:color="auto"/>
            </w:tcBorders>
            <w:shd w:val="clear" w:color="auto" w:fill="auto"/>
          </w:tcPr>
          <w:p>
            <w:pPr>
              <w:jc w:val="right"/>
              <w:rPr>
                <w:rFonts w:ascii="Arial" w:hAnsi="Arial" w:cs="Arial"/>
                <w:i/>
                <w:color w:val="00CCFF"/>
              </w:rPr>
            </w:pPr>
            <w:r>
              <w:rPr>
                <w:rFonts w:ascii="Arial" w:hAnsi="Arial" w:cs="Arial"/>
                <w:i/>
                <w:color w:val="00CCFF"/>
              </w:rPr>
              <w:t> </w:t>
            </w:r>
          </w:p>
        </w:tc>
        <w:tc>
          <w:tcPr>
            <w:tcW w:w="567" w:type="dxa"/>
            <w:tcBorders>
              <w:top w:val="nil"/>
              <w:left w:val="nil"/>
              <w:bottom w:val="single" w:sz="4" w:space="0" w:color="auto"/>
              <w:right w:val="single" w:sz="4" w:space="0" w:color="auto"/>
            </w:tcBorders>
            <w:shd w:val="clear" w:color="auto" w:fill="auto"/>
          </w:tcPr>
          <w:p>
            <w:pPr>
              <w:jc w:val="right"/>
              <w:rPr>
                <w:rFonts w:ascii="Arial" w:hAnsi="Arial" w:cs="Arial"/>
                <w:i/>
                <w:color w:val="00CCFF"/>
              </w:rPr>
            </w:pPr>
            <w:r>
              <w:rPr>
                <w:rFonts w:ascii="Arial" w:hAnsi="Arial" w:cs="Arial"/>
                <w:i/>
                <w:color w:val="00CCFF"/>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i/>
                <w:color w:val="00CCFF"/>
              </w:rPr>
            </w:pPr>
            <w:r>
              <w:rPr>
                <w:rFonts w:ascii="Arial" w:hAnsi="Arial" w:cs="Arial"/>
                <w:i/>
                <w:color w:val="00CCFF"/>
              </w:rPr>
              <w:t>Auf Grund langjähriger Kooperation können die Arbeiten nur von dem ausgewählten Anbieter in wirtschaftlicher und zielführender Weise durchgeführt werden, da Einarbeitungszeiten und die Anpassung der Standards entfallen.</w:t>
            </w:r>
          </w:p>
        </w:tc>
      </w:tr>
      <w:tr>
        <w:trPr>
          <w:trHeight w:val="1020"/>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i/>
                <w:color w:val="00CCFF"/>
              </w:rPr>
            </w:pPr>
            <w:r>
              <w:rPr>
                <w:rFonts w:ascii="Arial" w:hAnsi="Arial" w:cs="Arial"/>
                <w:i/>
                <w:color w:val="00CCFF"/>
              </w:rPr>
              <w:t>0847 / 1</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i/>
                <w:color w:val="00CCFF"/>
              </w:rPr>
            </w:pPr>
            <w:r>
              <w:rPr>
                <w:rFonts w:ascii="Arial" w:hAnsi="Arial" w:cs="Arial"/>
                <w:i/>
                <w:color w:val="00CCFF"/>
              </w:rPr>
              <w:t>6.100,00 €</w:t>
            </w:r>
          </w:p>
        </w:tc>
        <w:tc>
          <w:tcPr>
            <w:tcW w:w="2693" w:type="dxa"/>
            <w:tcBorders>
              <w:top w:val="nil"/>
              <w:left w:val="nil"/>
              <w:bottom w:val="single" w:sz="4" w:space="0" w:color="auto"/>
              <w:right w:val="single" w:sz="4" w:space="0" w:color="auto"/>
            </w:tcBorders>
            <w:shd w:val="clear" w:color="auto" w:fill="auto"/>
          </w:tcPr>
          <w:p>
            <w:pPr>
              <w:rPr>
                <w:rFonts w:ascii="Arial" w:hAnsi="Arial" w:cs="Arial"/>
                <w:i/>
                <w:iCs/>
                <w:color w:val="00CCFF"/>
              </w:rPr>
            </w:pPr>
            <w:r>
              <w:rPr>
                <w:rFonts w:ascii="Arial" w:hAnsi="Arial" w:cs="Arial"/>
                <w:i/>
                <w:iCs/>
                <w:color w:val="00CCFF"/>
              </w:rPr>
              <w:t>2.000€ (Einzelkosten laut Angebot 1a) x 3 (Stückzahl) + 100 (Kosten Lieferung)</w:t>
            </w:r>
          </w:p>
        </w:tc>
        <w:tc>
          <w:tcPr>
            <w:tcW w:w="535" w:type="dxa"/>
            <w:tcBorders>
              <w:top w:val="nil"/>
              <w:left w:val="nil"/>
              <w:bottom w:val="single" w:sz="4" w:space="0" w:color="auto"/>
              <w:right w:val="single" w:sz="4" w:space="0" w:color="auto"/>
            </w:tcBorders>
            <w:shd w:val="clear" w:color="auto" w:fill="auto"/>
          </w:tcPr>
          <w:p>
            <w:pPr>
              <w:jc w:val="right"/>
              <w:rPr>
                <w:rFonts w:ascii="Arial" w:hAnsi="Arial" w:cs="Arial"/>
                <w:i/>
                <w:iCs/>
                <w:color w:val="00CCFF"/>
              </w:rPr>
            </w:pPr>
            <w:r>
              <w:rPr>
                <w:rFonts w:ascii="Arial" w:hAnsi="Arial" w:cs="Arial"/>
                <w:i/>
                <w:iCs/>
                <w:color w:val="00CCFF"/>
              </w:rPr>
              <w:t>2a</w:t>
            </w:r>
          </w:p>
        </w:tc>
        <w:tc>
          <w:tcPr>
            <w:tcW w:w="567" w:type="dxa"/>
            <w:tcBorders>
              <w:top w:val="nil"/>
              <w:left w:val="nil"/>
              <w:bottom w:val="single" w:sz="4" w:space="0" w:color="auto"/>
              <w:right w:val="single" w:sz="4" w:space="0" w:color="auto"/>
            </w:tcBorders>
            <w:shd w:val="clear" w:color="auto" w:fill="auto"/>
          </w:tcPr>
          <w:p>
            <w:pPr>
              <w:jc w:val="right"/>
              <w:rPr>
                <w:rFonts w:ascii="Arial" w:hAnsi="Arial" w:cs="Arial"/>
                <w:i/>
                <w:iCs/>
                <w:color w:val="00CCFF"/>
              </w:rPr>
            </w:pPr>
            <w:r>
              <w:rPr>
                <w:rFonts w:ascii="Arial" w:hAnsi="Arial" w:cs="Arial"/>
                <w:i/>
                <w:iCs/>
                <w:color w:val="00CCFF"/>
              </w:rPr>
              <w:t>2b</w:t>
            </w:r>
          </w:p>
        </w:tc>
        <w:tc>
          <w:tcPr>
            <w:tcW w:w="567" w:type="dxa"/>
            <w:tcBorders>
              <w:top w:val="nil"/>
              <w:left w:val="nil"/>
              <w:bottom w:val="single" w:sz="4" w:space="0" w:color="auto"/>
              <w:right w:val="single" w:sz="4" w:space="0" w:color="auto"/>
            </w:tcBorders>
            <w:shd w:val="clear" w:color="auto" w:fill="auto"/>
          </w:tcPr>
          <w:p>
            <w:pPr>
              <w:jc w:val="right"/>
              <w:rPr>
                <w:rFonts w:ascii="Arial" w:hAnsi="Arial" w:cs="Arial"/>
                <w:i/>
                <w:iCs/>
                <w:color w:val="00CCFF"/>
              </w:rPr>
            </w:pPr>
            <w:r>
              <w:rPr>
                <w:rFonts w:ascii="Arial" w:hAnsi="Arial" w:cs="Arial"/>
                <w:i/>
                <w:iCs/>
                <w:color w:val="00CCFF"/>
              </w:rPr>
              <w:t>2c</w:t>
            </w:r>
          </w:p>
        </w:tc>
        <w:tc>
          <w:tcPr>
            <w:tcW w:w="2440" w:type="dxa"/>
            <w:tcBorders>
              <w:top w:val="nil"/>
              <w:left w:val="nil"/>
              <w:bottom w:val="single" w:sz="4" w:space="0" w:color="auto"/>
              <w:right w:val="single" w:sz="4" w:space="0" w:color="auto"/>
            </w:tcBorders>
            <w:shd w:val="clear" w:color="auto" w:fill="auto"/>
          </w:tcPr>
          <w:p>
            <w:pPr>
              <w:rPr>
                <w:rFonts w:ascii="Arial" w:hAnsi="Arial" w:cs="Arial"/>
                <w:i/>
                <w:color w:val="00CCFF"/>
              </w:rPr>
            </w:pPr>
            <w:r>
              <w:rPr>
                <w:rFonts w:ascii="Arial" w:hAnsi="Arial" w:cs="Arial"/>
                <w:i/>
                <w:color w:val="00CCFF"/>
              </w:rPr>
              <w:t> </w:t>
            </w:r>
          </w:p>
        </w:tc>
      </w:tr>
      <w:tr>
        <w:trPr>
          <w:trHeight w:val="510"/>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i/>
                <w:iCs/>
                <w:color w:val="00CCFF"/>
              </w:rPr>
            </w:pPr>
            <w:r>
              <w:rPr>
                <w:rFonts w:ascii="Arial" w:hAnsi="Arial" w:cs="Arial"/>
                <w:i/>
                <w:iCs/>
                <w:color w:val="00CCFF"/>
              </w:rPr>
              <w:t>0850 / 1</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i/>
                <w:iCs/>
                <w:color w:val="00CCFF"/>
              </w:rPr>
            </w:pPr>
            <w:r>
              <w:rPr>
                <w:rFonts w:ascii="Arial" w:hAnsi="Arial" w:cs="Arial"/>
                <w:i/>
                <w:iCs/>
                <w:color w:val="00CCFF"/>
              </w:rPr>
              <w:t>10.000,00 €</w:t>
            </w:r>
          </w:p>
        </w:tc>
        <w:tc>
          <w:tcPr>
            <w:tcW w:w="2693" w:type="dxa"/>
            <w:tcBorders>
              <w:top w:val="nil"/>
              <w:left w:val="nil"/>
              <w:bottom w:val="single" w:sz="4" w:space="0" w:color="auto"/>
              <w:right w:val="single" w:sz="4" w:space="0" w:color="auto"/>
            </w:tcBorders>
            <w:shd w:val="clear" w:color="auto" w:fill="auto"/>
          </w:tcPr>
          <w:p>
            <w:pPr>
              <w:rPr>
                <w:rFonts w:ascii="Arial" w:hAnsi="Arial" w:cs="Arial"/>
                <w:i/>
                <w:iCs/>
                <w:color w:val="00CCFF"/>
              </w:rPr>
            </w:pPr>
            <w:r>
              <w:rPr>
                <w:rFonts w:ascii="Arial" w:hAnsi="Arial" w:cs="Arial"/>
                <w:i/>
                <w:iCs/>
                <w:color w:val="00CCFF"/>
              </w:rPr>
              <w:t>Kosten laut Angebot 3</w:t>
            </w:r>
          </w:p>
        </w:tc>
        <w:tc>
          <w:tcPr>
            <w:tcW w:w="535" w:type="dxa"/>
            <w:tcBorders>
              <w:top w:val="nil"/>
              <w:left w:val="nil"/>
              <w:bottom w:val="single" w:sz="4" w:space="0" w:color="auto"/>
              <w:right w:val="single" w:sz="4" w:space="0" w:color="auto"/>
            </w:tcBorders>
            <w:shd w:val="clear" w:color="auto" w:fill="auto"/>
          </w:tcPr>
          <w:p>
            <w:pPr>
              <w:jc w:val="right"/>
              <w:rPr>
                <w:rFonts w:ascii="Arial" w:hAnsi="Arial" w:cs="Arial"/>
                <w:i/>
                <w:iCs/>
                <w:color w:val="00CCFF"/>
              </w:rPr>
            </w:pPr>
            <w:r>
              <w:rPr>
                <w:rFonts w:ascii="Arial" w:hAnsi="Arial" w:cs="Arial"/>
                <w:i/>
                <w:iCs/>
                <w:color w:val="00CCFF"/>
              </w:rPr>
              <w:t>3</w:t>
            </w:r>
          </w:p>
        </w:tc>
        <w:tc>
          <w:tcPr>
            <w:tcW w:w="567" w:type="dxa"/>
            <w:tcBorders>
              <w:top w:val="nil"/>
              <w:left w:val="nil"/>
              <w:bottom w:val="single" w:sz="4" w:space="0" w:color="auto"/>
              <w:right w:val="single" w:sz="4" w:space="0" w:color="auto"/>
            </w:tcBorders>
            <w:shd w:val="clear" w:color="auto" w:fill="auto"/>
          </w:tcPr>
          <w:p>
            <w:pPr>
              <w:jc w:val="right"/>
              <w:rPr>
                <w:rFonts w:ascii="Arial" w:hAnsi="Arial" w:cs="Arial"/>
                <w:i/>
                <w:iCs/>
                <w:color w:val="00CCFF"/>
              </w:rPr>
            </w:pPr>
            <w:r>
              <w:rPr>
                <w:rFonts w:ascii="Arial" w:hAnsi="Arial" w:cs="Arial"/>
                <w:i/>
                <w:iCs/>
                <w:color w:val="00CCFF"/>
              </w:rPr>
              <w:t> </w:t>
            </w:r>
          </w:p>
        </w:tc>
        <w:tc>
          <w:tcPr>
            <w:tcW w:w="567" w:type="dxa"/>
            <w:tcBorders>
              <w:top w:val="nil"/>
              <w:left w:val="nil"/>
              <w:bottom w:val="single" w:sz="4" w:space="0" w:color="auto"/>
              <w:right w:val="single" w:sz="4" w:space="0" w:color="auto"/>
            </w:tcBorders>
            <w:shd w:val="clear" w:color="auto" w:fill="auto"/>
          </w:tcPr>
          <w:p>
            <w:pPr>
              <w:jc w:val="right"/>
              <w:rPr>
                <w:rFonts w:ascii="Arial" w:hAnsi="Arial" w:cs="Arial"/>
                <w:i/>
                <w:iCs/>
                <w:color w:val="00CCFF"/>
              </w:rPr>
            </w:pPr>
            <w:r>
              <w:rPr>
                <w:rFonts w:ascii="Arial" w:hAnsi="Arial" w:cs="Arial"/>
                <w:i/>
                <w:iCs/>
                <w:color w:val="00CCFF"/>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i/>
                <w:iCs/>
                <w:color w:val="00CCFF"/>
              </w:rPr>
            </w:pPr>
            <w:r>
              <w:rPr>
                <w:rFonts w:ascii="Arial" w:hAnsi="Arial" w:cs="Arial"/>
                <w:i/>
                <w:iCs/>
                <w:color w:val="00CCFF"/>
              </w:rPr>
              <w:t>Kompatibilität zu bestehenden Anlagen nur vom ausgewählten Anbieter erfüllt</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r>
        <w:trPr>
          <w:trHeight w:val="255"/>
        </w:trPr>
        <w:tc>
          <w:tcPr>
            <w:tcW w:w="106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pPr>
              <w:rPr>
                <w:rFonts w:ascii="Arial" w:hAnsi="Arial" w:cs="Arial"/>
              </w:rPr>
            </w:pPr>
            <w:r>
              <w:rPr>
                <w:rFonts w:ascii="Arial" w:hAnsi="Arial" w:cs="Arial"/>
              </w:rPr>
              <w:t> </w:t>
            </w:r>
          </w:p>
        </w:tc>
      </w:tr>
    </w:tbl>
    <w:p/>
    <w:p>
      <w:pPr>
        <w:pStyle w:val="berschrift2"/>
        <w:numPr>
          <w:ilvl w:val="0"/>
          <w:numId w:val="0"/>
        </w:numPr>
        <w:rPr>
          <w:rFonts w:cs="Arial"/>
        </w:rPr>
      </w:pPr>
    </w:p>
    <w:p>
      <w:pPr>
        <w:pStyle w:val="berschrift2"/>
        <w:numPr>
          <w:ilvl w:val="0"/>
          <w:numId w:val="0"/>
        </w:numPr>
        <w:rPr>
          <w:rFonts w:cs="Arial"/>
        </w:rPr>
      </w:pPr>
    </w:p>
    <w:sectPr>
      <w:headerReference w:type="even" r:id="rId7"/>
      <w:headerReference w:type="default" r:id="rId8"/>
      <w:footerReference w:type="even" r:id="rId9"/>
      <w:footerReference w:type="default" r:id="rId10"/>
      <w:headerReference w:type="first" r:id="rId11"/>
      <w:footerReference w:type="first" r:id="rId12"/>
      <w:footnotePr>
        <w:numFmt w:val="lowerLetter"/>
      </w:footnotePr>
      <w:type w:val="oddPage"/>
      <w:pgSz w:w="11907" w:h="16840" w:code="9"/>
      <w:pgMar w:top="1418" w:right="1418"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tabs>
        <w:tab w:val="clear" w:pos="9072"/>
        <w:tab w:val="right" w:pos="9356"/>
      </w:tabs>
      <w:rPr>
        <w:rFonts w:ascii="Arial" w:hAnsi="Arial"/>
      </w:rPr>
    </w:pPr>
    <w:r>
      <w:rPr>
        <w:rFonts w:ascii="Arial" w:hAnsi="Arial"/>
      </w:rPr>
      <w:tab/>
    </w:r>
    <w:r>
      <w:rPr>
        <w:rFonts w:ascii="Arial" w:hAnsi="Arial"/>
      </w:rPr>
      <w:tab/>
    </w:r>
    <w:r>
      <w:rPr>
        <w:rFonts w:ascii="Arial" w:hAnsi="Arial"/>
      </w:rPr>
      <w:fldChar w:fldCharType="begin"/>
    </w:r>
    <w:r>
      <w:rPr>
        <w:rFonts w:ascii="Arial" w:hAnsi="Arial"/>
      </w:rPr>
      <w:instrText xml:space="preserve"> PAGE  \* MERGEFORMAT </w:instrText>
    </w:r>
    <w:r>
      <w:rPr>
        <w:rFonts w:ascii="Arial" w:hAnsi="Arial"/>
      </w:rPr>
      <w:fldChar w:fldCharType="separate"/>
    </w:r>
    <w:r>
      <w:rPr>
        <w:rFonts w:ascii="Arial" w:hAnsi="Arial"/>
        <w:noProof/>
      </w:rPr>
      <w:t>1</w:t>
    </w:r>
    <w:r>
      <w:rPr>
        <w:rFonts w:ascii="Arial" w:hAnsi="Arial"/>
      </w:rPr>
      <w:fldChar w:fldCharType="end"/>
    </w:r>
    <w:r>
      <w:rPr>
        <w:rFonts w:ascii="Arial" w:hAnsi="Arial"/>
      </w:rPr>
      <w:t xml:space="preserve"> / </w:t>
    </w:r>
    <w:r>
      <w:rPr>
        <w:rFonts w:ascii="Arial" w:hAnsi="Arial"/>
      </w:rPr>
      <w:fldChar w:fldCharType="begin"/>
    </w:r>
    <w:r>
      <w:rPr>
        <w:rFonts w:ascii="Arial" w:hAnsi="Arial"/>
      </w:rPr>
      <w:instrText xml:space="preserve"> NUMPAGES  \* MERGEFORMAT </w:instrText>
    </w:r>
    <w:r>
      <w:rPr>
        <w:rFonts w:ascii="Arial" w:hAnsi="Arial"/>
      </w:rPr>
      <w:fldChar w:fldCharType="separate"/>
    </w:r>
    <w:r>
      <w:rPr>
        <w:rFonts w:ascii="Arial" w:hAnsi="Arial"/>
        <w:noProof/>
      </w:rPr>
      <w:t>4</w:t>
    </w:r>
    <w:r>
      <w:rPr>
        <w:rFonts w:ascii="Arial" w:hAnsi="Arial"/>
      </w:rPr>
      <w:fldChar w:fldCharType="end"/>
    </w:r>
  </w:p>
  <w:p>
    <w:pPr>
      <w:pStyle w:val="Fuzeile"/>
      <w:tabs>
        <w:tab w:val="clear" w:pos="9072"/>
        <w:tab w:val="right" w:pos="9356"/>
      </w:tabs>
      <w:rPr>
        <w:rFonts w:ascii="Arial" w:hAnsi="Arial"/>
      </w:rPr>
    </w:pPr>
  </w:p>
  <w:p>
    <w:pPr>
      <w:pStyle w:val="Fuzeile"/>
      <w:jc w:val="right"/>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Vordruck-Nr. 0048 im Formularschrank des BMBF (</w:t>
      </w:r>
      <w:hyperlink r:id="rId1" w:history="1">
        <w:r>
          <w:rPr>
            <w:rStyle w:val="Hyperlink"/>
          </w:rPr>
          <w:t>https://foerderportal.bund.de/easy/</w:t>
        </w:r>
      </w:hyperlink>
      <w:r>
        <w:t>)</w:t>
      </w:r>
    </w:p>
  </w:footnote>
  <w:footnote w:id="2">
    <w:p>
      <w:pPr>
        <w:pStyle w:val="Funotentext"/>
      </w:pPr>
      <w:r>
        <w:rPr>
          <w:rStyle w:val="Funotenzeichen"/>
        </w:rPr>
        <w:footnoteRef/>
      </w:r>
      <w:r>
        <w:t xml:space="preserve"> Zu erstellen mit dem Programm easy-AAK (</w:t>
      </w:r>
      <w:hyperlink r:id="rId2" w:history="1">
        <w:r>
          <w:rPr>
            <w:rStyle w:val="Hyperlink"/>
          </w:rPr>
          <w:t>https://foerderportal.bund.de/easy/</w:t>
        </w:r>
      </w:hyperlink>
      <w:r>
        <w:t>)</w:t>
      </w:r>
    </w:p>
  </w:footnote>
  <w:footnote w:id="3">
    <w:p>
      <w:pPr>
        <w:pStyle w:val="Funotentext"/>
      </w:pPr>
      <w:r>
        <w:rPr>
          <w:rStyle w:val="Funotenzeichen"/>
        </w:rPr>
        <w:footnoteRef/>
      </w:r>
      <w:r>
        <w:t xml:space="preserve"> Zu erstellen mit dem Programm easy-AAA (</w:t>
      </w:r>
      <w:hyperlink r:id="rId3" w:history="1">
        <w:r>
          <w:rPr>
            <w:rStyle w:val="Hyperlink"/>
          </w:rPr>
          <w:t>https://foerderportal.bund.de/easy/</w:t>
        </w:r>
      </w:hyperlink>
      <w:r>
        <w:t>)</w:t>
      </w:r>
    </w:p>
  </w:footnote>
  <w:footnote w:id="4">
    <w:p>
      <w:pPr>
        <w:pStyle w:val="Funotentext"/>
      </w:pPr>
      <w:r>
        <w:rPr>
          <w:rStyle w:val="Funotenzeichen"/>
        </w:rPr>
        <w:footnoteRef/>
      </w:r>
      <w:r>
        <w:t xml:space="preserve"> gem. NKBF 2017 Ziff. 2.4.1 - 2.4.5</w:t>
      </w:r>
    </w:p>
  </w:footnote>
  <w:footnote w:id="5">
    <w:p>
      <w:pPr>
        <w:pStyle w:val="Funotentext"/>
      </w:pPr>
      <w:r>
        <w:rPr>
          <w:rStyle w:val="Funotenzeichen"/>
        </w:rPr>
        <w:footnoteRef/>
      </w:r>
      <w:r>
        <w:t xml:space="preserve"> Jahresbruttogehalt = 12 x Monatsgehalt/-lohn + Urlaubsgeld + Weihnachtsgeld (ohne Arbeitgeberanteile an Sozialversicherung)</w:t>
      </w:r>
    </w:p>
  </w:footnote>
  <w:footnote w:id="6">
    <w:p>
      <w:pPr>
        <w:pStyle w:val="Funotentext"/>
      </w:pPr>
      <w:r>
        <w:rPr>
          <w:rStyle w:val="Funotenzeichen"/>
        </w:rPr>
        <w:footnoteRef/>
      </w:r>
      <w:r>
        <w:t xml:space="preserve"> maximal mögliche Jahresarbeitsstunden: 52 x Wochenstunden (gem. Arbeitsvertrag)</w:t>
      </w:r>
    </w:p>
  </w:footnote>
  <w:footnote w:id="7">
    <w:p>
      <w:pPr>
        <w:pStyle w:val="Funotentext"/>
      </w:pPr>
      <w:r>
        <w:rPr>
          <w:rStyle w:val="Funotenzeichen"/>
        </w:rPr>
        <w:footnoteRef/>
      </w:r>
      <w:r>
        <w:t xml:space="preserve"> Fehlzeiten = gesetzliche und kirchliche Feiertage, durchschnittliche Krankentage usw.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rPr>
        <w:rFonts w:ascii="Arial" w:hAnsi="Arial"/>
      </w:rPr>
    </w:pPr>
    <w:r>
      <w:rPr>
        <w:rFonts w:ascii="Arial" w:hAnsi="Arial"/>
      </w:rPr>
      <w:t xml:space="preserve">&lt;&lt;V e r b u n d p r o j e k </w:t>
    </w:r>
    <w:proofErr w:type="gramStart"/>
    <w:r>
      <w:rPr>
        <w:rFonts w:ascii="Arial" w:hAnsi="Arial"/>
      </w:rPr>
      <w:t>t  e</w:t>
    </w:r>
    <w:proofErr w:type="gramEnd"/>
    <w:r>
      <w:rPr>
        <w:rFonts w:ascii="Arial" w:hAnsi="Arial"/>
      </w:rPr>
      <w:t xml:space="preserve"> i n s e t z e n&gt;&gt;</w:t>
    </w:r>
    <w:r>
      <w:rPr>
        <w:rFonts w:ascii="Arial" w:hAnsi="Arial"/>
      </w:rPr>
      <w:tab/>
    </w:r>
    <w:r>
      <w:rPr>
        <w:rFonts w:ascii="Arial" w:hAnsi="Arial"/>
      </w:rPr>
      <w:tab/>
      <w:t>Version 030823</w:t>
    </w:r>
  </w:p>
  <w:p>
    <w:pPr>
      <w:pStyle w:val="Kopfzeile"/>
      <w:rPr>
        <w:rFonts w:ascii="Arial" w:hAnsi="Arial"/>
      </w:rPr>
    </w:pPr>
    <w:r>
      <w:rPr>
        <w:rFonts w:ascii="Arial" w:hAnsi="Arial"/>
      </w:rPr>
      <w:t xml:space="preserve">&lt;&lt;T e i l v o r h a b e </w:t>
    </w:r>
    <w:proofErr w:type="gramStart"/>
    <w:r>
      <w:rPr>
        <w:rFonts w:ascii="Arial" w:hAnsi="Arial"/>
      </w:rPr>
      <w:t>n  e</w:t>
    </w:r>
    <w:proofErr w:type="gramEnd"/>
    <w:r>
      <w:rPr>
        <w:rFonts w:ascii="Arial" w:hAnsi="Arial"/>
      </w:rPr>
      <w:t xml:space="preserve"> i n s e t z e n&gt;&gt;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420B5"/>
    <w:multiLevelType w:val="hybridMultilevel"/>
    <w:tmpl w:val="F5ECE39E"/>
    <w:lvl w:ilvl="0" w:tplc="04070001">
      <w:start w:val="1"/>
      <w:numFmt w:val="bullet"/>
      <w:lvlText w:val=""/>
      <w:lvlJc w:val="left"/>
      <w:pPr>
        <w:tabs>
          <w:tab w:val="num" w:pos="720"/>
        </w:tabs>
        <w:ind w:left="720" w:hanging="360"/>
      </w:pPr>
      <w:rPr>
        <w:rFonts w:ascii="Symbol" w:hAnsi="Symbol" w:hint="default"/>
      </w:rPr>
    </w:lvl>
    <w:lvl w:ilvl="1" w:tplc="FC86371E" w:tentative="1">
      <w:start w:val="1"/>
      <w:numFmt w:val="bullet"/>
      <w:lvlText w:val=""/>
      <w:lvlJc w:val="left"/>
      <w:pPr>
        <w:tabs>
          <w:tab w:val="num" w:pos="1440"/>
        </w:tabs>
        <w:ind w:left="1440" w:hanging="360"/>
      </w:pPr>
      <w:rPr>
        <w:rFonts w:ascii="Wingdings" w:hAnsi="Wingdings" w:hint="default"/>
      </w:rPr>
    </w:lvl>
    <w:lvl w:ilvl="2" w:tplc="F76C773E" w:tentative="1">
      <w:start w:val="1"/>
      <w:numFmt w:val="bullet"/>
      <w:lvlText w:val=""/>
      <w:lvlJc w:val="left"/>
      <w:pPr>
        <w:tabs>
          <w:tab w:val="num" w:pos="2160"/>
        </w:tabs>
        <w:ind w:left="2160" w:hanging="360"/>
      </w:pPr>
      <w:rPr>
        <w:rFonts w:ascii="Wingdings" w:hAnsi="Wingdings" w:hint="default"/>
      </w:rPr>
    </w:lvl>
    <w:lvl w:ilvl="3" w:tplc="10AC0E0C" w:tentative="1">
      <w:start w:val="1"/>
      <w:numFmt w:val="bullet"/>
      <w:lvlText w:val=""/>
      <w:lvlJc w:val="left"/>
      <w:pPr>
        <w:tabs>
          <w:tab w:val="num" w:pos="2880"/>
        </w:tabs>
        <w:ind w:left="2880" w:hanging="360"/>
      </w:pPr>
      <w:rPr>
        <w:rFonts w:ascii="Wingdings" w:hAnsi="Wingdings" w:hint="default"/>
      </w:rPr>
    </w:lvl>
    <w:lvl w:ilvl="4" w:tplc="61BE1088" w:tentative="1">
      <w:start w:val="1"/>
      <w:numFmt w:val="bullet"/>
      <w:lvlText w:val=""/>
      <w:lvlJc w:val="left"/>
      <w:pPr>
        <w:tabs>
          <w:tab w:val="num" w:pos="3600"/>
        </w:tabs>
        <w:ind w:left="3600" w:hanging="360"/>
      </w:pPr>
      <w:rPr>
        <w:rFonts w:ascii="Wingdings" w:hAnsi="Wingdings" w:hint="default"/>
      </w:rPr>
    </w:lvl>
    <w:lvl w:ilvl="5" w:tplc="9DCE4E22" w:tentative="1">
      <w:start w:val="1"/>
      <w:numFmt w:val="bullet"/>
      <w:lvlText w:val=""/>
      <w:lvlJc w:val="left"/>
      <w:pPr>
        <w:tabs>
          <w:tab w:val="num" w:pos="4320"/>
        </w:tabs>
        <w:ind w:left="4320" w:hanging="360"/>
      </w:pPr>
      <w:rPr>
        <w:rFonts w:ascii="Wingdings" w:hAnsi="Wingdings" w:hint="default"/>
      </w:rPr>
    </w:lvl>
    <w:lvl w:ilvl="6" w:tplc="C02863D4" w:tentative="1">
      <w:start w:val="1"/>
      <w:numFmt w:val="bullet"/>
      <w:lvlText w:val=""/>
      <w:lvlJc w:val="left"/>
      <w:pPr>
        <w:tabs>
          <w:tab w:val="num" w:pos="5040"/>
        </w:tabs>
        <w:ind w:left="5040" w:hanging="360"/>
      </w:pPr>
      <w:rPr>
        <w:rFonts w:ascii="Wingdings" w:hAnsi="Wingdings" w:hint="default"/>
      </w:rPr>
    </w:lvl>
    <w:lvl w:ilvl="7" w:tplc="3D74F712" w:tentative="1">
      <w:start w:val="1"/>
      <w:numFmt w:val="bullet"/>
      <w:lvlText w:val=""/>
      <w:lvlJc w:val="left"/>
      <w:pPr>
        <w:tabs>
          <w:tab w:val="num" w:pos="5760"/>
        </w:tabs>
        <w:ind w:left="5760" w:hanging="360"/>
      </w:pPr>
      <w:rPr>
        <w:rFonts w:ascii="Wingdings" w:hAnsi="Wingdings" w:hint="default"/>
      </w:rPr>
    </w:lvl>
    <w:lvl w:ilvl="8" w:tplc="209E9BF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081C8E"/>
    <w:multiLevelType w:val="hybridMultilevel"/>
    <w:tmpl w:val="66E28A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DB6A28"/>
    <w:multiLevelType w:val="hybridMultilevel"/>
    <w:tmpl w:val="A5C4D24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12333"/>
    <w:multiLevelType w:val="hybridMultilevel"/>
    <w:tmpl w:val="257211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6A55A8"/>
    <w:multiLevelType w:val="hybridMultilevel"/>
    <w:tmpl w:val="A1F490D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3B100AD"/>
    <w:multiLevelType w:val="hybridMultilevel"/>
    <w:tmpl w:val="4D484D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1D0A29"/>
    <w:multiLevelType w:val="hybridMultilevel"/>
    <w:tmpl w:val="ECD66998"/>
    <w:lvl w:ilvl="0" w:tplc="04070001">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3450CC8"/>
    <w:multiLevelType w:val="hybridMultilevel"/>
    <w:tmpl w:val="21F639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1803AE"/>
    <w:multiLevelType w:val="multilevel"/>
    <w:tmpl w:val="0388C9EA"/>
    <w:lvl w:ilvl="0">
      <w:numFmt w:val="decimal"/>
      <w:pStyle w:val="berschrift1"/>
      <w:lvlText w:val="%1"/>
      <w:lvlJc w:val="left"/>
      <w:pPr>
        <w:tabs>
          <w:tab w:val="num" w:pos="432"/>
        </w:tabs>
        <w:ind w:left="432" w:hanging="432"/>
      </w:pPr>
      <w:rPr>
        <w:rFonts w:hint="default"/>
      </w:rPr>
    </w:lvl>
    <w:lvl w:ilvl="1">
      <w:start w:val="1"/>
      <w:numFmt w:val="decimal"/>
      <w:lvlRestart w:val="0"/>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9" w15:restartNumberingAfterBreak="0">
    <w:nsid w:val="782201FB"/>
    <w:multiLevelType w:val="multilevel"/>
    <w:tmpl w:val="0388C9EA"/>
    <w:lvl w:ilvl="0">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770586793">
    <w:abstractNumId w:val="8"/>
  </w:num>
  <w:num w:numId="2" w16cid:durableId="1737632397">
    <w:abstractNumId w:val="5"/>
  </w:num>
  <w:num w:numId="3" w16cid:durableId="833227596">
    <w:abstractNumId w:val="3"/>
  </w:num>
  <w:num w:numId="4" w16cid:durableId="1510177904">
    <w:abstractNumId w:val="4"/>
  </w:num>
  <w:num w:numId="5" w16cid:durableId="2055228126">
    <w:abstractNumId w:val="6"/>
  </w:num>
  <w:num w:numId="6" w16cid:durableId="237326490">
    <w:abstractNumId w:val="2"/>
  </w:num>
  <w:num w:numId="7" w16cid:durableId="1235508196">
    <w:abstractNumId w:val="1"/>
  </w:num>
  <w:num w:numId="8" w16cid:durableId="649099650">
    <w:abstractNumId w:val="7"/>
  </w:num>
  <w:num w:numId="9" w16cid:durableId="887227325">
    <w:abstractNumId w:val="0"/>
  </w:num>
  <w:num w:numId="10" w16cid:durableId="108556765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8318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19822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B40DB8FC-05D6-48B3-8C94-5479E788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numPr>
        <w:numId w:val="1"/>
      </w:numPr>
      <w:jc w:val="both"/>
      <w:outlineLvl w:val="0"/>
    </w:pPr>
    <w:rPr>
      <w:rFonts w:ascii="Arial" w:hAnsi="Arial"/>
      <w:b/>
      <w:sz w:val="24"/>
    </w:rPr>
  </w:style>
  <w:style w:type="paragraph" w:styleId="berschrift2">
    <w:name w:val="heading 2"/>
    <w:basedOn w:val="Standard"/>
    <w:next w:val="Standard"/>
    <w:qFormat/>
    <w:pPr>
      <w:keepNext/>
      <w:numPr>
        <w:ilvl w:val="1"/>
        <w:numId w:val="1"/>
      </w:numPr>
      <w:spacing w:before="240" w:after="60"/>
      <w:outlineLvl w:val="1"/>
    </w:pPr>
    <w:rPr>
      <w:rFonts w:ascii="Arial" w:hAnsi="Arial"/>
      <w:b/>
      <w:i/>
      <w:sz w:val="24"/>
    </w:rPr>
  </w:style>
  <w:style w:type="paragraph" w:styleId="berschrift3">
    <w:name w:val="heading 3"/>
    <w:basedOn w:val="Standard"/>
    <w:next w:val="Standard"/>
    <w:qFormat/>
    <w:pPr>
      <w:keepNext/>
      <w:numPr>
        <w:ilvl w:val="2"/>
        <w:numId w:val="1"/>
      </w:numPr>
      <w:outlineLvl w:val="2"/>
    </w:pPr>
    <w:rPr>
      <w:rFonts w:ascii="Arial" w:hAnsi="Arial"/>
      <w:b/>
      <w:sz w:val="24"/>
    </w:rPr>
  </w:style>
  <w:style w:type="paragraph" w:styleId="berschrift4">
    <w:name w:val="heading 4"/>
    <w:basedOn w:val="Standard"/>
    <w:next w:val="Standard"/>
    <w:qFormat/>
    <w:pPr>
      <w:keepNext/>
      <w:numPr>
        <w:ilvl w:val="3"/>
        <w:numId w:val="1"/>
      </w:numPr>
      <w:spacing w:before="240" w:after="60"/>
      <w:outlineLvl w:val="3"/>
    </w:pPr>
    <w:rPr>
      <w:rFonts w:ascii="Arial" w:hAnsi="Arial"/>
      <w:b/>
      <w:sz w:val="24"/>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rFonts w:ascii="Arial" w:hAnsi="Arial"/>
    </w:rPr>
  </w:style>
  <w:style w:type="paragraph" w:styleId="berschrift8">
    <w:name w:val="heading 8"/>
    <w:basedOn w:val="Standard"/>
    <w:next w:val="Standard"/>
    <w:qFormat/>
    <w:pPr>
      <w:numPr>
        <w:ilvl w:val="7"/>
        <w:numId w:val="1"/>
      </w:numPr>
      <w:spacing w:before="240" w:after="60"/>
      <w:outlineLvl w:val="7"/>
    </w:pPr>
    <w:rPr>
      <w:rFonts w:ascii="Arial" w:hAnsi="Arial"/>
      <w:i/>
    </w:rPr>
  </w:style>
  <w:style w:type="paragraph" w:styleId="berschrift9">
    <w:name w:val="heading 9"/>
    <w:basedOn w:val="Standard"/>
    <w:next w:val="Standard"/>
    <w:qFormat/>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4"/>
    </w:rPr>
  </w:style>
  <w:style w:type="paragraph" w:styleId="Titel">
    <w:name w:val="Title"/>
    <w:basedOn w:val="Standard"/>
    <w:qFormat/>
    <w:pPr>
      <w:jc w:val="center"/>
    </w:pPr>
    <w:rPr>
      <w:rFonts w:ascii="Arial" w:hAnsi="Arial"/>
      <w:b/>
      <w:sz w:val="2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table" w:customStyle="1"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BesuchterHyperlink">
    <w:name w:val="BesuchterHyperlink"/>
    <w:uiPriority w:val="99"/>
    <w:semiHidden/>
    <w:unhideWhenUsed/>
    <w:rPr>
      <w:color w:val="800080"/>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oerderportal.bund.de/easy/" TargetMode="External"/><Relationship Id="rId2" Type="http://schemas.openxmlformats.org/officeDocument/2006/relationships/hyperlink" Target="https://foerderportal.bund.de/easy/" TargetMode="External"/><Relationship Id="rId1" Type="http://schemas.openxmlformats.org/officeDocument/2006/relationships/hyperlink" Target="https://foerderportal.bund.de/eas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793</Words>
  <Characters>5601</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Erläuterung Vorkalkulation AZK</vt:lpstr>
    </vt:vector>
  </TitlesOfParts>
  <Company>VDI-TZ</Company>
  <LinksUpToDate>false</LinksUpToDate>
  <CharactersWithSpaces>6382</CharactersWithSpaces>
  <SharedDoc>false</SharedDoc>
  <HLinks>
    <vt:vector size="18" baseType="variant">
      <vt:variant>
        <vt:i4>6684787</vt:i4>
      </vt:variant>
      <vt:variant>
        <vt:i4>6</vt:i4>
      </vt:variant>
      <vt:variant>
        <vt:i4>0</vt:i4>
      </vt:variant>
      <vt:variant>
        <vt:i4>5</vt:i4>
      </vt:variant>
      <vt:variant>
        <vt:lpwstr>https://foerderportal.bund.de/easy/</vt:lpwstr>
      </vt:variant>
      <vt:variant>
        <vt:lpwstr/>
      </vt:variant>
      <vt:variant>
        <vt:i4>6684787</vt:i4>
      </vt:variant>
      <vt:variant>
        <vt:i4>3</vt:i4>
      </vt:variant>
      <vt:variant>
        <vt:i4>0</vt:i4>
      </vt:variant>
      <vt:variant>
        <vt:i4>5</vt:i4>
      </vt:variant>
      <vt:variant>
        <vt:lpwstr>https://foerderportal.bund.de/easy/</vt:lpwstr>
      </vt:variant>
      <vt:variant>
        <vt:lpwstr/>
      </vt:variant>
      <vt:variant>
        <vt:i4>6684787</vt:i4>
      </vt:variant>
      <vt:variant>
        <vt:i4>0</vt:i4>
      </vt:variant>
      <vt:variant>
        <vt:i4>0</vt:i4>
      </vt:variant>
      <vt:variant>
        <vt:i4>5</vt:i4>
      </vt:variant>
      <vt:variant>
        <vt:lpwstr>https://foerderportal.bund.de/easy/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Erläuterung Vorkalkulation AZK</dc:title>
  <dc:subject/>
  <dc:creator>Jörg Baier</dc:creator>
  <cp:keywords/>
  <dc:description>Version vom 30.11.2009</dc:description>
  <cp:lastModifiedBy>Anke auf'm Kamp</cp:lastModifiedBy>
  <cp:revision>2</cp:revision>
  <cp:lastPrinted>2008-12-03T12:26:00Z</cp:lastPrinted>
  <dcterms:created xsi:type="dcterms:W3CDTF">2023-08-07T05:49:00Z</dcterms:created>
  <dcterms:modified xsi:type="dcterms:W3CDTF">2023-08-07T05:49:00Z</dcterms:modified>
</cp:coreProperties>
</file>